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7.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8.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1.xml" ContentType="application/vnd.openxmlformats-officedocument.drawingml.chartshapes+xml"/>
  <Override PartName="/word/charts/chart2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30.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31.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32.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33.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34.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35.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36.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37.xml" ContentType="application/vnd.openxmlformats-officedocument.drawingml.chart+xml"/>
  <Override PartName="/word/charts/chart38.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39.xml" ContentType="application/vnd.openxmlformats-officedocument.drawingml.chart+xml"/>
  <Override PartName="/word/charts/style25.xml" ContentType="application/vnd.ms-office.chartstyle+xml"/>
  <Override PartName="/word/charts/colors2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EA07A" w14:textId="77777777" w:rsidR="00C55CB0" w:rsidRDefault="00C55CB0" w:rsidP="00C55CB0">
      <w:pPr>
        <w:pStyle w:val="Title"/>
        <w:pBdr>
          <w:bottom w:val="none" w:sz="0" w:space="0" w:color="auto"/>
        </w:pBdr>
        <w:spacing w:after="240"/>
        <w:rPr>
          <w:rFonts w:asciiTheme="minorHAnsi" w:hAnsiTheme="minorHAnsi"/>
          <w:sz w:val="52"/>
        </w:rPr>
      </w:pPr>
    </w:p>
    <w:p w14:paraId="75CF4C59" w14:textId="77777777" w:rsidR="00C55CB0" w:rsidRDefault="00C55CB0" w:rsidP="00C55CB0">
      <w:pPr>
        <w:pStyle w:val="Title"/>
        <w:pBdr>
          <w:bottom w:val="none" w:sz="0" w:space="0" w:color="auto"/>
        </w:pBdr>
        <w:spacing w:after="240"/>
        <w:rPr>
          <w:rFonts w:asciiTheme="minorHAnsi" w:hAnsiTheme="minorHAnsi"/>
          <w:sz w:val="52"/>
        </w:rPr>
      </w:pPr>
    </w:p>
    <w:p w14:paraId="2CB0DF0E" w14:textId="77777777" w:rsidR="002D6E3E" w:rsidRPr="00234E0F" w:rsidRDefault="002D6E3E" w:rsidP="00F366F4">
      <w:pPr>
        <w:spacing w:after="240"/>
        <w:rPr>
          <w:sz w:val="52"/>
        </w:rPr>
      </w:pPr>
    </w:p>
    <w:p w14:paraId="56ECEA29" w14:textId="77777777" w:rsidR="00E57709" w:rsidRDefault="00E57709" w:rsidP="009F4586">
      <w:pPr>
        <w:spacing w:after="240"/>
        <w:jc w:val="center"/>
        <w:rPr>
          <w:b/>
          <w:sz w:val="52"/>
          <w:szCs w:val="52"/>
        </w:rPr>
      </w:pPr>
    </w:p>
    <w:p w14:paraId="33478B80" w14:textId="77777777" w:rsidR="00E57709" w:rsidRDefault="00E57709" w:rsidP="009F4586">
      <w:pPr>
        <w:spacing w:after="240"/>
        <w:jc w:val="center"/>
        <w:rPr>
          <w:b/>
          <w:sz w:val="52"/>
          <w:szCs w:val="52"/>
        </w:rPr>
      </w:pPr>
    </w:p>
    <w:p w14:paraId="1869E525" w14:textId="085304F9" w:rsidR="009F4586" w:rsidRPr="006064D5" w:rsidRDefault="009F4586" w:rsidP="009F4586">
      <w:pPr>
        <w:spacing w:after="240"/>
        <w:jc w:val="center"/>
        <w:rPr>
          <w:b/>
          <w:sz w:val="52"/>
          <w:szCs w:val="52"/>
        </w:rPr>
      </w:pPr>
      <w:r w:rsidRPr="001869BF">
        <w:rPr>
          <w:b/>
          <w:sz w:val="52"/>
          <w:szCs w:val="52"/>
        </w:rPr>
        <w:t>Pharmaceutical Benefits Scheme</w:t>
      </w:r>
    </w:p>
    <w:p w14:paraId="318873BD" w14:textId="77777777" w:rsidR="009F4586" w:rsidRPr="006064D5" w:rsidRDefault="009F4586" w:rsidP="009F4586">
      <w:pPr>
        <w:spacing w:before="480" w:after="240"/>
        <w:jc w:val="center"/>
        <w:rPr>
          <w:b/>
          <w:sz w:val="40"/>
          <w:szCs w:val="40"/>
        </w:rPr>
      </w:pPr>
      <w:r w:rsidRPr="001869BF">
        <w:rPr>
          <w:b/>
          <w:sz w:val="40"/>
          <w:szCs w:val="40"/>
        </w:rPr>
        <w:t>Post-market Review</w:t>
      </w:r>
    </w:p>
    <w:p w14:paraId="5ACCF572" w14:textId="5901EE44" w:rsidR="009F4586" w:rsidRPr="00C55CB0" w:rsidRDefault="009F4586" w:rsidP="009F4586">
      <w:pPr>
        <w:spacing w:before="240"/>
        <w:jc w:val="center"/>
        <w:rPr>
          <w:b/>
          <w:color w:val="365F91" w:themeColor="accent1" w:themeShade="BF"/>
          <w:sz w:val="32"/>
          <w:szCs w:val="32"/>
        </w:rPr>
      </w:pPr>
      <w:r>
        <w:rPr>
          <w:b/>
          <w:color w:val="365F91" w:themeColor="accent1" w:themeShade="BF"/>
          <w:sz w:val="32"/>
          <w:szCs w:val="32"/>
        </w:rPr>
        <w:t xml:space="preserve">Post-market Review of Medicines </w:t>
      </w:r>
      <w:r w:rsidR="00E57709">
        <w:rPr>
          <w:b/>
          <w:color w:val="365F91" w:themeColor="accent1" w:themeShade="BF"/>
          <w:sz w:val="32"/>
          <w:szCs w:val="32"/>
        </w:rPr>
        <w:t xml:space="preserve">Used </w:t>
      </w:r>
      <w:r>
        <w:rPr>
          <w:b/>
          <w:color w:val="365F91" w:themeColor="accent1" w:themeShade="BF"/>
          <w:sz w:val="32"/>
          <w:szCs w:val="32"/>
        </w:rPr>
        <w:t>for Smoking Cessation</w:t>
      </w:r>
    </w:p>
    <w:p w14:paraId="03F103D0" w14:textId="77777777" w:rsidR="009F4586" w:rsidRPr="001869BF" w:rsidRDefault="009F4586" w:rsidP="009F4586">
      <w:pPr>
        <w:spacing w:before="240"/>
        <w:jc w:val="center"/>
        <w:rPr>
          <w:b/>
          <w:i/>
          <w:color w:val="365F91" w:themeColor="accent1" w:themeShade="BF"/>
          <w:sz w:val="28"/>
          <w:szCs w:val="28"/>
        </w:rPr>
      </w:pPr>
      <w:r w:rsidRPr="001869BF">
        <w:rPr>
          <w:b/>
          <w:i/>
          <w:color w:val="365F91" w:themeColor="accent1" w:themeShade="BF"/>
          <w:sz w:val="28"/>
          <w:szCs w:val="28"/>
        </w:rPr>
        <w:t>Report to PBAC</w:t>
      </w:r>
      <w:r>
        <w:rPr>
          <w:b/>
          <w:i/>
          <w:color w:val="365F91" w:themeColor="accent1" w:themeShade="BF"/>
          <w:sz w:val="28"/>
          <w:szCs w:val="28"/>
        </w:rPr>
        <w:t xml:space="preserve"> </w:t>
      </w:r>
    </w:p>
    <w:p w14:paraId="46E41A14" w14:textId="77777777" w:rsidR="00E57709" w:rsidRDefault="00E57709" w:rsidP="00F366F4">
      <w:pPr>
        <w:spacing w:before="240" w:after="20"/>
        <w:jc w:val="center"/>
        <w:rPr>
          <w:rFonts w:ascii="Calibri" w:eastAsia="Calibri" w:hAnsi="Calibri" w:cs="Arial"/>
          <w:b/>
          <w:i/>
          <w:color w:val="365F91" w:themeColor="accent1" w:themeShade="BF"/>
          <w:sz w:val="28"/>
          <w:szCs w:val="28"/>
        </w:rPr>
      </w:pPr>
    </w:p>
    <w:p w14:paraId="37682378" w14:textId="77777777" w:rsidR="00E57709" w:rsidRDefault="00E57709" w:rsidP="00F366F4">
      <w:pPr>
        <w:spacing w:before="240" w:after="20"/>
        <w:jc w:val="center"/>
        <w:rPr>
          <w:rFonts w:ascii="Calibri" w:eastAsia="Calibri" w:hAnsi="Calibri" w:cs="Arial"/>
          <w:b/>
          <w:i/>
          <w:color w:val="365F91" w:themeColor="accent1" w:themeShade="BF"/>
          <w:sz w:val="28"/>
          <w:szCs w:val="28"/>
        </w:rPr>
      </w:pPr>
    </w:p>
    <w:p w14:paraId="529D8466" w14:textId="77777777" w:rsidR="00E57709" w:rsidRDefault="00E57709" w:rsidP="00F366F4">
      <w:pPr>
        <w:spacing w:before="240" w:after="20"/>
        <w:jc w:val="center"/>
        <w:rPr>
          <w:rFonts w:ascii="Calibri" w:eastAsia="Calibri" w:hAnsi="Calibri" w:cs="Arial"/>
          <w:b/>
          <w:i/>
          <w:color w:val="365F91" w:themeColor="accent1" w:themeShade="BF"/>
          <w:sz w:val="28"/>
          <w:szCs w:val="28"/>
        </w:rPr>
      </w:pPr>
    </w:p>
    <w:p w14:paraId="42AA225F" w14:textId="5AE30757" w:rsidR="009F4586" w:rsidRPr="00F366F4" w:rsidRDefault="009F4586" w:rsidP="00F366F4">
      <w:pPr>
        <w:spacing w:before="240" w:after="20"/>
        <w:jc w:val="center"/>
        <w:rPr>
          <w:rFonts w:ascii="Calibri" w:hAnsi="Calibri"/>
          <w:b/>
          <w:i/>
          <w:color w:val="365F91" w:themeColor="accent1" w:themeShade="BF"/>
          <w:sz w:val="28"/>
        </w:rPr>
      </w:pPr>
      <w:r>
        <w:rPr>
          <w:rFonts w:ascii="Calibri" w:eastAsia="Calibri" w:hAnsi="Calibri" w:cs="Arial"/>
          <w:b/>
          <w:i/>
          <w:color w:val="365F91" w:themeColor="accent1" w:themeShade="BF"/>
          <w:sz w:val="28"/>
          <w:szCs w:val="28"/>
        </w:rPr>
        <w:t>ToR 2</w:t>
      </w:r>
      <w:r w:rsidRPr="00F81BFD">
        <w:rPr>
          <w:rFonts w:ascii="Calibri" w:eastAsia="Calibri" w:hAnsi="Calibri" w:cs="Arial"/>
          <w:b/>
          <w:i/>
          <w:color w:val="365F91" w:themeColor="accent1" w:themeShade="BF"/>
          <w:sz w:val="28"/>
          <w:szCs w:val="28"/>
        </w:rPr>
        <w:t xml:space="preserve">: </w:t>
      </w:r>
      <w:r w:rsidRPr="00F366F4">
        <w:rPr>
          <w:rFonts w:ascii="Calibri" w:hAnsi="Calibri"/>
          <w:b/>
          <w:i/>
          <w:color w:val="365F91" w:themeColor="accent1" w:themeShade="BF"/>
          <w:sz w:val="28"/>
        </w:rPr>
        <w:t xml:space="preserve">Utilisation of PBS-listed medicines for smoking cessation </w:t>
      </w:r>
    </w:p>
    <w:p w14:paraId="13F579CB" w14:textId="77777777" w:rsidR="009F4586" w:rsidRPr="001869BF" w:rsidRDefault="009F4586" w:rsidP="009F4586">
      <w:pPr>
        <w:spacing w:before="240"/>
        <w:jc w:val="center"/>
        <w:rPr>
          <w:b/>
          <w:i/>
          <w:color w:val="365F91" w:themeColor="accent1" w:themeShade="BF"/>
          <w:sz w:val="28"/>
          <w:szCs w:val="28"/>
        </w:rPr>
      </w:pPr>
      <w:bookmarkStart w:id="0" w:name="_Toc341175223"/>
      <w:bookmarkStart w:id="1" w:name="_Toc341180114"/>
      <w:bookmarkStart w:id="2" w:name="_Toc341718010"/>
      <w:bookmarkStart w:id="3" w:name="_Toc341946998"/>
      <w:bookmarkStart w:id="4" w:name="_Toc341964940"/>
      <w:bookmarkStart w:id="5" w:name="_Toc342478568"/>
      <w:bookmarkStart w:id="6" w:name="_Toc342558104"/>
      <w:bookmarkStart w:id="7" w:name="_Toc351967067"/>
      <w:bookmarkStart w:id="8" w:name="_Toc359831559"/>
      <w:bookmarkStart w:id="9" w:name="_Toc359914389"/>
      <w:bookmarkStart w:id="10" w:name="_Toc360710900"/>
      <w:bookmarkStart w:id="11" w:name="_Toc368383244"/>
      <w:bookmarkStart w:id="12" w:name="_Toc371521186"/>
    </w:p>
    <w:bookmarkEnd w:id="0"/>
    <w:bookmarkEnd w:id="1"/>
    <w:bookmarkEnd w:id="2"/>
    <w:bookmarkEnd w:id="3"/>
    <w:bookmarkEnd w:id="4"/>
    <w:bookmarkEnd w:id="5"/>
    <w:bookmarkEnd w:id="6"/>
    <w:bookmarkEnd w:id="7"/>
    <w:bookmarkEnd w:id="8"/>
    <w:bookmarkEnd w:id="9"/>
    <w:bookmarkEnd w:id="10"/>
    <w:bookmarkEnd w:id="11"/>
    <w:bookmarkEnd w:id="12"/>
    <w:p w14:paraId="4B4E2E12" w14:textId="7A9969BF" w:rsidR="009F4586" w:rsidRPr="00F366F4" w:rsidRDefault="009F4586" w:rsidP="00F366F4">
      <w:pPr>
        <w:spacing w:after="240"/>
        <w:jc w:val="center"/>
        <w:rPr>
          <w:b/>
          <w:sz w:val="52"/>
        </w:rPr>
      </w:pPr>
    </w:p>
    <w:p w14:paraId="114A53C4" w14:textId="77777777" w:rsidR="00032349" w:rsidRPr="00F366F4" w:rsidRDefault="00032349" w:rsidP="00F366F4">
      <w:pPr>
        <w:spacing w:before="480" w:after="240"/>
        <w:jc w:val="center"/>
        <w:rPr>
          <w:b/>
          <w:sz w:val="40"/>
        </w:rPr>
      </w:pPr>
    </w:p>
    <w:p w14:paraId="6B7C36E7" w14:textId="77777777" w:rsidR="00D15E9A" w:rsidRDefault="00C55CB0" w:rsidP="00D15E9A">
      <w:pPr>
        <w:spacing w:before="480" w:after="240"/>
        <w:jc w:val="center"/>
        <w:rPr>
          <w:i/>
        </w:rPr>
      </w:pPr>
      <w:r>
        <w:rPr>
          <w:i/>
        </w:rPr>
        <w:br w:type="page"/>
      </w:r>
    </w:p>
    <w:sdt>
      <w:sdtPr>
        <w:id w:val="1164359329"/>
        <w:docPartObj>
          <w:docPartGallery w:val="Table of Contents"/>
          <w:docPartUnique/>
        </w:docPartObj>
      </w:sdtPr>
      <w:sdtEndPr>
        <w:rPr>
          <w:noProof/>
          <w:sz w:val="23"/>
          <w:szCs w:val="23"/>
        </w:rPr>
      </w:sdtEndPr>
      <w:sdtContent>
        <w:bookmarkStart w:id="13" w:name="_GoBack" w:displacedByCustomXml="prev"/>
        <w:bookmarkEnd w:id="13" w:displacedByCustomXml="prev"/>
        <w:p w14:paraId="17533EAC" w14:textId="65427729" w:rsidR="00032349" w:rsidRPr="00486248" w:rsidRDefault="00C82A01" w:rsidP="00C82A01">
          <w:pPr>
            <w:jc w:val="center"/>
            <w:rPr>
              <w:b/>
              <w:color w:val="4F81BD" w:themeColor="accent1"/>
              <w:sz w:val="40"/>
              <w:szCs w:val="40"/>
            </w:rPr>
          </w:pPr>
          <w:r w:rsidRPr="00486248">
            <w:rPr>
              <w:b/>
              <w:color w:val="4F81BD" w:themeColor="accent1"/>
              <w:sz w:val="40"/>
              <w:szCs w:val="40"/>
            </w:rPr>
            <w:t>Contents</w:t>
          </w:r>
        </w:p>
        <w:p w14:paraId="46D16683" w14:textId="30CAC9DD" w:rsidR="000A3424" w:rsidRPr="000A3424" w:rsidRDefault="00032349">
          <w:pPr>
            <w:pStyle w:val="TOC1"/>
            <w:rPr>
              <w:noProof/>
              <w:sz w:val="23"/>
              <w:szCs w:val="23"/>
            </w:rPr>
          </w:pPr>
          <w:r w:rsidRPr="00A143EC">
            <w:rPr>
              <w:sz w:val="23"/>
              <w:szCs w:val="23"/>
            </w:rPr>
            <w:fldChar w:fldCharType="begin"/>
          </w:r>
          <w:r w:rsidRPr="00A143EC">
            <w:rPr>
              <w:sz w:val="23"/>
              <w:szCs w:val="23"/>
            </w:rPr>
            <w:instrText xml:space="preserve"> TOC \o "1-3" \h \z \u </w:instrText>
          </w:r>
          <w:r w:rsidRPr="00A143EC">
            <w:rPr>
              <w:sz w:val="23"/>
              <w:szCs w:val="23"/>
            </w:rPr>
            <w:fldChar w:fldCharType="separate"/>
          </w:r>
          <w:hyperlink w:anchor="_Toc72840879" w:history="1">
            <w:r w:rsidR="000A3424" w:rsidRPr="000A3424">
              <w:rPr>
                <w:rStyle w:val="Hyperlink"/>
                <w:noProof/>
                <w:sz w:val="23"/>
                <w:szCs w:val="23"/>
              </w:rPr>
              <w:t>Abbreviations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_Toc72840879 \h </w:instrText>
            </w:r>
            <w:r w:rsidR="000A3424" w:rsidRPr="000A3424">
              <w:rPr>
                <w:noProof/>
                <w:webHidden/>
                <w:sz w:val="23"/>
                <w:szCs w:val="23"/>
              </w:rPr>
            </w:r>
            <w:r w:rsidR="000A3424" w:rsidRPr="000A3424">
              <w:rPr>
                <w:noProof/>
                <w:webHidden/>
                <w:sz w:val="23"/>
                <w:szCs w:val="23"/>
              </w:rPr>
              <w:fldChar w:fldCharType="separate"/>
            </w:r>
            <w:r w:rsidR="003F295B">
              <w:rPr>
                <w:noProof/>
                <w:webHidden/>
                <w:sz w:val="23"/>
                <w:szCs w:val="23"/>
              </w:rPr>
              <w:t>3</w:t>
            </w:r>
            <w:r w:rsidR="000A3424" w:rsidRPr="000A3424">
              <w:rPr>
                <w:noProof/>
                <w:webHidden/>
                <w:sz w:val="23"/>
                <w:szCs w:val="23"/>
              </w:rPr>
              <w:fldChar w:fldCharType="end"/>
            </w:r>
          </w:hyperlink>
        </w:p>
        <w:p w14:paraId="6A567F63" w14:textId="4CCA835C" w:rsidR="000A3424" w:rsidRPr="000A3424" w:rsidRDefault="003F295B">
          <w:pPr>
            <w:pStyle w:val="TOC1"/>
            <w:rPr>
              <w:noProof/>
              <w:sz w:val="23"/>
              <w:szCs w:val="23"/>
            </w:rPr>
          </w:pPr>
          <w:hyperlink w:anchor="_Toc72840880" w:history="1">
            <w:r w:rsidR="000A3424" w:rsidRPr="000A3424">
              <w:rPr>
                <w:rStyle w:val="Hyperlink"/>
                <w:rFonts w:ascii="Calibri" w:eastAsiaTheme="majorEastAsia" w:hAnsi="Calibri" w:cstheme="majorBidi"/>
                <w:noProof/>
                <w:sz w:val="23"/>
                <w:szCs w:val="23"/>
              </w:rPr>
              <w:t>Section 2: ToR 2</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_Toc72840880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4</w:t>
            </w:r>
            <w:r w:rsidR="000A3424" w:rsidRPr="000A3424">
              <w:rPr>
                <w:noProof/>
                <w:webHidden/>
                <w:sz w:val="23"/>
                <w:szCs w:val="23"/>
              </w:rPr>
              <w:fldChar w:fldCharType="end"/>
            </w:r>
          </w:hyperlink>
        </w:p>
        <w:p w14:paraId="1361E3F7" w14:textId="75F8281E" w:rsidR="000A3424" w:rsidRPr="000A3424" w:rsidRDefault="003F295B">
          <w:pPr>
            <w:pStyle w:val="TOC2"/>
            <w:tabs>
              <w:tab w:val="right" w:leader="dot" w:pos="9016"/>
            </w:tabs>
            <w:rPr>
              <w:noProof/>
              <w:sz w:val="23"/>
              <w:szCs w:val="23"/>
            </w:rPr>
          </w:pPr>
          <w:hyperlink w:anchor="_Toc72840881" w:history="1">
            <w:r w:rsidR="000A3424" w:rsidRPr="000A3424">
              <w:rPr>
                <w:rStyle w:val="Hyperlink"/>
                <w:rFonts w:ascii="Calibri" w:eastAsiaTheme="majorEastAsia" w:hAnsi="Calibri" w:cstheme="majorBidi"/>
                <w:noProof/>
                <w:sz w:val="23"/>
                <w:szCs w:val="23"/>
              </w:rPr>
              <w:t xml:space="preserve">2.1 </w:t>
            </w:r>
            <w:r w:rsidR="000A3424" w:rsidRPr="000A3424">
              <w:rPr>
                <w:rStyle w:val="Hyperlink"/>
                <w:rFonts w:ascii="Calibri" w:eastAsiaTheme="majorEastAsia" w:hAnsi="Calibri"/>
                <w:noProof/>
                <w:sz w:val="23"/>
                <w:szCs w:val="23"/>
              </w:rPr>
              <w:t>Key findings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_Toc72840881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4</w:t>
            </w:r>
            <w:r w:rsidR="000A3424" w:rsidRPr="000A3424">
              <w:rPr>
                <w:noProof/>
                <w:webHidden/>
                <w:sz w:val="23"/>
                <w:szCs w:val="23"/>
              </w:rPr>
              <w:fldChar w:fldCharType="end"/>
            </w:r>
          </w:hyperlink>
        </w:p>
        <w:p w14:paraId="2D733CE5" w14:textId="33D98278" w:rsidR="000A3424" w:rsidRPr="000A3424" w:rsidRDefault="003F295B">
          <w:pPr>
            <w:pStyle w:val="TOC3"/>
            <w:tabs>
              <w:tab w:val="left" w:pos="1320"/>
              <w:tab w:val="right" w:leader="dot" w:pos="9016"/>
            </w:tabs>
            <w:rPr>
              <w:noProof/>
              <w:sz w:val="23"/>
              <w:szCs w:val="23"/>
            </w:rPr>
          </w:pPr>
          <w:hyperlink w:anchor="_Toc72840882" w:history="1">
            <w:r w:rsidR="000A3424" w:rsidRPr="000A3424">
              <w:rPr>
                <w:rStyle w:val="Hyperlink"/>
                <w:rFonts w:eastAsiaTheme="majorEastAsia" w:cstheme="majorBidi"/>
                <w:noProof/>
                <w:sz w:val="23"/>
                <w:szCs w:val="23"/>
              </w:rPr>
              <w:t>2.1.1</w:t>
            </w:r>
            <w:r w:rsidR="000A3424" w:rsidRPr="000A3424">
              <w:rPr>
                <w:noProof/>
                <w:sz w:val="23"/>
                <w:szCs w:val="23"/>
              </w:rPr>
              <w:tab/>
            </w:r>
            <w:r w:rsidR="000A3424" w:rsidRPr="000A3424">
              <w:rPr>
                <w:rStyle w:val="Hyperlink"/>
                <w:rFonts w:eastAsiaTheme="majorEastAsia" w:cstheme="majorBidi"/>
                <w:noProof/>
                <w:sz w:val="23"/>
                <w:szCs w:val="23"/>
              </w:rPr>
              <w:t>Describe the overall trends in the utilisation and cost of smoking cessation medicines in Australia</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_Toc72840882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4</w:t>
            </w:r>
            <w:r w:rsidR="000A3424" w:rsidRPr="000A3424">
              <w:rPr>
                <w:noProof/>
                <w:webHidden/>
                <w:sz w:val="23"/>
                <w:szCs w:val="23"/>
              </w:rPr>
              <w:fldChar w:fldCharType="end"/>
            </w:r>
          </w:hyperlink>
        </w:p>
        <w:p w14:paraId="38F3DF94" w14:textId="52428066" w:rsidR="000A3424" w:rsidRPr="000A3424" w:rsidRDefault="003F295B">
          <w:pPr>
            <w:pStyle w:val="TOC3"/>
            <w:tabs>
              <w:tab w:val="left" w:pos="1320"/>
              <w:tab w:val="right" w:leader="dot" w:pos="9016"/>
            </w:tabs>
            <w:rPr>
              <w:noProof/>
              <w:sz w:val="23"/>
              <w:szCs w:val="23"/>
            </w:rPr>
          </w:pPr>
          <w:hyperlink w:anchor="_Toc72840883" w:history="1">
            <w:r w:rsidR="000A3424" w:rsidRPr="000A3424">
              <w:rPr>
                <w:rStyle w:val="Hyperlink"/>
                <w:rFonts w:eastAsiaTheme="majorEastAsia" w:cstheme="minorHAnsi"/>
                <w:noProof/>
                <w:sz w:val="23"/>
                <w:szCs w:val="23"/>
              </w:rPr>
              <w:t>2.1.2</w:t>
            </w:r>
            <w:r w:rsidR="000A3424" w:rsidRPr="000A3424">
              <w:rPr>
                <w:noProof/>
                <w:sz w:val="23"/>
                <w:szCs w:val="23"/>
              </w:rPr>
              <w:tab/>
            </w:r>
            <w:r w:rsidR="000A3424" w:rsidRPr="000A3424">
              <w:rPr>
                <w:rStyle w:val="Hyperlink"/>
                <w:rFonts w:eastAsiaTheme="majorEastAsia" w:cstheme="minorHAnsi"/>
                <w:noProof/>
                <w:sz w:val="23"/>
                <w:szCs w:val="23"/>
              </w:rPr>
              <w:t>Determine the prevalent and incident population treated with PBS listed medicines for smoking cessation.</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_Toc72840883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4</w:t>
            </w:r>
            <w:r w:rsidR="000A3424" w:rsidRPr="000A3424">
              <w:rPr>
                <w:noProof/>
                <w:webHidden/>
                <w:sz w:val="23"/>
                <w:szCs w:val="23"/>
              </w:rPr>
              <w:fldChar w:fldCharType="end"/>
            </w:r>
          </w:hyperlink>
        </w:p>
        <w:p w14:paraId="7ED5080E" w14:textId="53183B1C" w:rsidR="000A3424" w:rsidRPr="000A3424" w:rsidRDefault="003F295B">
          <w:pPr>
            <w:pStyle w:val="TOC3"/>
            <w:tabs>
              <w:tab w:val="left" w:pos="1320"/>
              <w:tab w:val="right" w:leader="dot" w:pos="9016"/>
            </w:tabs>
            <w:rPr>
              <w:noProof/>
              <w:sz w:val="23"/>
              <w:szCs w:val="23"/>
            </w:rPr>
          </w:pPr>
          <w:hyperlink w:anchor="_Toc72840884" w:history="1">
            <w:r w:rsidR="000A3424" w:rsidRPr="000A3424">
              <w:rPr>
                <w:rStyle w:val="Hyperlink"/>
                <w:rFonts w:eastAsiaTheme="majorEastAsia" w:cstheme="minorHAnsi"/>
                <w:noProof/>
                <w:sz w:val="23"/>
                <w:szCs w:val="23"/>
              </w:rPr>
              <w:t>2.1.3</w:t>
            </w:r>
            <w:r w:rsidR="000A3424" w:rsidRPr="000A3424">
              <w:rPr>
                <w:noProof/>
                <w:sz w:val="23"/>
                <w:szCs w:val="23"/>
              </w:rPr>
              <w:tab/>
            </w:r>
            <w:r w:rsidR="000A3424" w:rsidRPr="000A3424">
              <w:rPr>
                <w:rStyle w:val="Hyperlink"/>
                <w:rFonts w:eastAsiaTheme="majorEastAsia" w:cstheme="minorHAnsi"/>
                <w:noProof/>
                <w:sz w:val="23"/>
                <w:szCs w:val="23"/>
              </w:rPr>
              <w:t>Provide the most recent statistics on the prevalence of smoking in Australia</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_Toc72840884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4</w:t>
            </w:r>
            <w:r w:rsidR="000A3424" w:rsidRPr="000A3424">
              <w:rPr>
                <w:noProof/>
                <w:webHidden/>
                <w:sz w:val="23"/>
                <w:szCs w:val="23"/>
              </w:rPr>
              <w:fldChar w:fldCharType="end"/>
            </w:r>
          </w:hyperlink>
        </w:p>
        <w:p w14:paraId="4DA2F261" w14:textId="1E5416FF" w:rsidR="000A3424" w:rsidRPr="000A3424" w:rsidRDefault="003F295B">
          <w:pPr>
            <w:pStyle w:val="TOC3"/>
            <w:tabs>
              <w:tab w:val="left" w:pos="1320"/>
              <w:tab w:val="right" w:leader="dot" w:pos="9016"/>
            </w:tabs>
            <w:rPr>
              <w:noProof/>
              <w:sz w:val="23"/>
              <w:szCs w:val="23"/>
            </w:rPr>
          </w:pPr>
          <w:hyperlink w:anchor="_Toc72840885" w:history="1">
            <w:r w:rsidR="000A3424" w:rsidRPr="000A3424">
              <w:rPr>
                <w:rStyle w:val="Hyperlink"/>
                <w:rFonts w:eastAsiaTheme="majorEastAsia" w:cstheme="minorHAnsi"/>
                <w:noProof/>
                <w:sz w:val="23"/>
                <w:szCs w:val="23"/>
              </w:rPr>
              <w:t>2.1.4</w:t>
            </w:r>
            <w:r w:rsidR="000A3424" w:rsidRPr="000A3424">
              <w:rPr>
                <w:noProof/>
                <w:sz w:val="23"/>
                <w:szCs w:val="23"/>
              </w:rPr>
              <w:tab/>
            </w:r>
            <w:r w:rsidR="000A3424" w:rsidRPr="000A3424">
              <w:rPr>
                <w:rStyle w:val="Hyperlink"/>
                <w:rFonts w:eastAsiaTheme="majorEastAsia" w:cstheme="minorHAnsi"/>
                <w:noProof/>
                <w:sz w:val="23"/>
                <w:szCs w:val="23"/>
              </w:rPr>
              <w:t>Prevalence of smoking cessation therapies under the PBS in specific populations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_Toc72840885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5</w:t>
            </w:r>
            <w:r w:rsidR="000A3424" w:rsidRPr="000A3424">
              <w:rPr>
                <w:noProof/>
                <w:webHidden/>
                <w:sz w:val="23"/>
                <w:szCs w:val="23"/>
              </w:rPr>
              <w:fldChar w:fldCharType="end"/>
            </w:r>
          </w:hyperlink>
        </w:p>
        <w:p w14:paraId="7F393F49" w14:textId="5D6F2597" w:rsidR="000A3424" w:rsidRPr="000A3424" w:rsidRDefault="003F295B">
          <w:pPr>
            <w:pStyle w:val="TOC3"/>
            <w:tabs>
              <w:tab w:val="left" w:pos="1320"/>
              <w:tab w:val="right" w:leader="dot" w:pos="9016"/>
            </w:tabs>
            <w:rPr>
              <w:noProof/>
              <w:sz w:val="23"/>
              <w:szCs w:val="23"/>
            </w:rPr>
          </w:pPr>
          <w:hyperlink w:anchor="_Toc72840886" w:history="1">
            <w:r w:rsidR="000A3424" w:rsidRPr="000A3424">
              <w:rPr>
                <w:rStyle w:val="Hyperlink"/>
                <w:rFonts w:eastAsiaTheme="majorEastAsia" w:cstheme="minorHAnsi"/>
                <w:noProof/>
                <w:sz w:val="23"/>
                <w:szCs w:val="23"/>
              </w:rPr>
              <w:t>2.1.5</w:t>
            </w:r>
            <w:r w:rsidR="000A3424" w:rsidRPr="000A3424">
              <w:rPr>
                <w:noProof/>
                <w:sz w:val="23"/>
                <w:szCs w:val="23"/>
              </w:rPr>
              <w:tab/>
            </w:r>
            <w:r w:rsidR="000A3424" w:rsidRPr="000A3424">
              <w:rPr>
                <w:rStyle w:val="Hyperlink"/>
                <w:rFonts w:eastAsiaTheme="majorEastAsia" w:cstheme="minorHAnsi"/>
                <w:noProof/>
                <w:sz w:val="23"/>
                <w:szCs w:val="23"/>
              </w:rPr>
              <w:t>Estimates of specific populations of interest with access to smoking cessation therapies under the PBS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_Toc72840886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5</w:t>
            </w:r>
            <w:r w:rsidR="000A3424" w:rsidRPr="000A3424">
              <w:rPr>
                <w:noProof/>
                <w:webHidden/>
                <w:sz w:val="23"/>
                <w:szCs w:val="23"/>
              </w:rPr>
              <w:fldChar w:fldCharType="end"/>
            </w:r>
          </w:hyperlink>
        </w:p>
        <w:p w14:paraId="523DE1BC" w14:textId="4051821F" w:rsidR="000A3424" w:rsidRPr="000A3424" w:rsidRDefault="003F295B">
          <w:pPr>
            <w:pStyle w:val="TOC3"/>
            <w:tabs>
              <w:tab w:val="left" w:pos="1320"/>
              <w:tab w:val="right" w:leader="dot" w:pos="9016"/>
            </w:tabs>
            <w:rPr>
              <w:noProof/>
              <w:sz w:val="23"/>
              <w:szCs w:val="23"/>
            </w:rPr>
          </w:pPr>
          <w:hyperlink w:anchor="_Toc72840887" w:history="1">
            <w:r w:rsidR="000A3424" w:rsidRPr="000A3424">
              <w:rPr>
                <w:rStyle w:val="Hyperlink"/>
                <w:rFonts w:eastAsiaTheme="majorEastAsia" w:cstheme="minorHAnsi"/>
                <w:noProof/>
                <w:sz w:val="23"/>
                <w:szCs w:val="23"/>
              </w:rPr>
              <w:t>2.1.6</w:t>
            </w:r>
            <w:r w:rsidR="000A3424" w:rsidRPr="000A3424">
              <w:rPr>
                <w:noProof/>
                <w:sz w:val="23"/>
                <w:szCs w:val="23"/>
              </w:rPr>
              <w:tab/>
            </w:r>
            <w:r w:rsidR="000A3424" w:rsidRPr="000A3424">
              <w:rPr>
                <w:rStyle w:val="Hyperlink"/>
                <w:rFonts w:eastAsiaTheme="majorEastAsia" w:cstheme="minorHAnsi"/>
                <w:noProof/>
                <w:sz w:val="23"/>
                <w:szCs w:val="23"/>
              </w:rPr>
              <w:t>Number of therapies and length of treatment with smoking cessation medicines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_Toc72840887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5</w:t>
            </w:r>
            <w:r w:rsidR="000A3424" w:rsidRPr="000A3424">
              <w:rPr>
                <w:noProof/>
                <w:webHidden/>
                <w:sz w:val="23"/>
                <w:szCs w:val="23"/>
              </w:rPr>
              <w:fldChar w:fldCharType="end"/>
            </w:r>
          </w:hyperlink>
        </w:p>
        <w:p w14:paraId="2B09B9D9" w14:textId="34084E93" w:rsidR="000A3424" w:rsidRPr="000A3424" w:rsidRDefault="003F295B">
          <w:pPr>
            <w:pStyle w:val="TOC3"/>
            <w:tabs>
              <w:tab w:val="left" w:pos="1320"/>
              <w:tab w:val="right" w:leader="dot" w:pos="9016"/>
            </w:tabs>
            <w:rPr>
              <w:noProof/>
              <w:sz w:val="23"/>
              <w:szCs w:val="23"/>
            </w:rPr>
          </w:pPr>
          <w:hyperlink w:anchor="_Toc72840888" w:history="1">
            <w:r w:rsidR="000A3424" w:rsidRPr="000A3424">
              <w:rPr>
                <w:rStyle w:val="Hyperlink"/>
                <w:rFonts w:eastAsiaTheme="majorEastAsia" w:cstheme="minorHAnsi"/>
                <w:noProof/>
                <w:sz w:val="23"/>
                <w:szCs w:val="23"/>
              </w:rPr>
              <w:t>2.1.7</w:t>
            </w:r>
            <w:r w:rsidR="000A3424" w:rsidRPr="000A3424">
              <w:rPr>
                <w:noProof/>
                <w:sz w:val="23"/>
                <w:szCs w:val="23"/>
              </w:rPr>
              <w:tab/>
            </w:r>
            <w:r w:rsidR="000A3424" w:rsidRPr="000A3424">
              <w:rPr>
                <w:rStyle w:val="Hyperlink"/>
                <w:rFonts w:eastAsiaTheme="majorEastAsia" w:cstheme="minorHAnsi"/>
                <w:noProof/>
                <w:sz w:val="23"/>
                <w:szCs w:val="23"/>
              </w:rPr>
              <w:t>Use of counselling services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_Toc72840888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5</w:t>
            </w:r>
            <w:r w:rsidR="000A3424" w:rsidRPr="000A3424">
              <w:rPr>
                <w:noProof/>
                <w:webHidden/>
                <w:sz w:val="23"/>
                <w:szCs w:val="23"/>
              </w:rPr>
              <w:fldChar w:fldCharType="end"/>
            </w:r>
          </w:hyperlink>
        </w:p>
        <w:p w14:paraId="2F2B776D" w14:textId="526E3541" w:rsidR="000A3424" w:rsidRPr="000A3424" w:rsidRDefault="003F295B">
          <w:pPr>
            <w:pStyle w:val="TOC3"/>
            <w:tabs>
              <w:tab w:val="left" w:pos="1320"/>
              <w:tab w:val="right" w:leader="dot" w:pos="9016"/>
            </w:tabs>
            <w:rPr>
              <w:noProof/>
              <w:sz w:val="23"/>
              <w:szCs w:val="23"/>
            </w:rPr>
          </w:pPr>
          <w:hyperlink w:anchor="_Toc72840889" w:history="1">
            <w:r w:rsidR="000A3424" w:rsidRPr="000A3424">
              <w:rPr>
                <w:rStyle w:val="Hyperlink"/>
                <w:rFonts w:cstheme="minorHAnsi"/>
                <w:noProof/>
                <w:sz w:val="23"/>
                <w:szCs w:val="23"/>
              </w:rPr>
              <w:t>2.1.8</w:t>
            </w:r>
            <w:r w:rsidR="000A3424" w:rsidRPr="000A3424">
              <w:rPr>
                <w:noProof/>
                <w:sz w:val="23"/>
                <w:szCs w:val="23"/>
              </w:rPr>
              <w:tab/>
            </w:r>
            <w:r w:rsidR="000A3424" w:rsidRPr="000A3424">
              <w:rPr>
                <w:rStyle w:val="Hyperlink"/>
                <w:rFonts w:eastAsiaTheme="majorEastAsia" w:cstheme="minorHAnsi"/>
                <w:noProof/>
                <w:sz w:val="23"/>
                <w:szCs w:val="23"/>
              </w:rPr>
              <w:t>Consistency with PBS restrictions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_Toc72840889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6</w:t>
            </w:r>
            <w:r w:rsidR="000A3424" w:rsidRPr="000A3424">
              <w:rPr>
                <w:noProof/>
                <w:webHidden/>
                <w:sz w:val="23"/>
                <w:szCs w:val="23"/>
              </w:rPr>
              <w:fldChar w:fldCharType="end"/>
            </w:r>
          </w:hyperlink>
        </w:p>
        <w:p w14:paraId="31914FEA" w14:textId="6F9072DA" w:rsidR="000A3424" w:rsidRPr="000A3424" w:rsidRDefault="003F295B">
          <w:pPr>
            <w:pStyle w:val="TOC3"/>
            <w:tabs>
              <w:tab w:val="left" w:pos="1320"/>
              <w:tab w:val="right" w:leader="dot" w:pos="9016"/>
            </w:tabs>
            <w:rPr>
              <w:noProof/>
              <w:sz w:val="23"/>
              <w:szCs w:val="23"/>
            </w:rPr>
          </w:pPr>
          <w:hyperlink w:anchor="_Toc72840890" w:history="1">
            <w:r w:rsidR="000A3424" w:rsidRPr="000A3424">
              <w:rPr>
                <w:rStyle w:val="Hyperlink"/>
                <w:rFonts w:eastAsiaTheme="majorEastAsia" w:cstheme="minorHAnsi"/>
                <w:noProof/>
                <w:sz w:val="23"/>
                <w:szCs w:val="23"/>
              </w:rPr>
              <w:t>2.1.9</w:t>
            </w:r>
            <w:r w:rsidR="000A3424" w:rsidRPr="000A3424">
              <w:rPr>
                <w:noProof/>
                <w:sz w:val="23"/>
                <w:szCs w:val="23"/>
              </w:rPr>
              <w:tab/>
            </w:r>
            <w:r w:rsidR="000A3424" w:rsidRPr="000A3424">
              <w:rPr>
                <w:rStyle w:val="Hyperlink"/>
                <w:rFonts w:eastAsiaTheme="majorEastAsia" w:cstheme="minorHAnsi"/>
                <w:noProof/>
                <w:sz w:val="23"/>
                <w:szCs w:val="23"/>
              </w:rPr>
              <w:t>Stakeholder views (Forum and public consultations)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_Toc72840890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6</w:t>
            </w:r>
            <w:r w:rsidR="000A3424" w:rsidRPr="000A3424">
              <w:rPr>
                <w:noProof/>
                <w:webHidden/>
                <w:sz w:val="23"/>
                <w:szCs w:val="23"/>
              </w:rPr>
              <w:fldChar w:fldCharType="end"/>
            </w:r>
          </w:hyperlink>
        </w:p>
        <w:p w14:paraId="2EB38A24" w14:textId="08618D27" w:rsidR="000A3424" w:rsidRPr="000A3424" w:rsidRDefault="003F295B">
          <w:pPr>
            <w:pStyle w:val="TOC2"/>
            <w:tabs>
              <w:tab w:val="right" w:leader="dot" w:pos="9016"/>
            </w:tabs>
            <w:rPr>
              <w:noProof/>
              <w:sz w:val="23"/>
              <w:szCs w:val="23"/>
            </w:rPr>
          </w:pPr>
          <w:hyperlink w:anchor="_Toc72840891" w:history="1">
            <w:r w:rsidR="000A3424" w:rsidRPr="000A3424">
              <w:rPr>
                <w:rStyle w:val="Hyperlink"/>
                <w:rFonts w:cstheme="minorHAnsi"/>
                <w:noProof/>
                <w:sz w:val="23"/>
                <w:szCs w:val="23"/>
              </w:rPr>
              <w:t>2.2 Background</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_Toc72840891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7</w:t>
            </w:r>
            <w:r w:rsidR="000A3424" w:rsidRPr="000A3424">
              <w:rPr>
                <w:noProof/>
                <w:webHidden/>
                <w:sz w:val="23"/>
                <w:szCs w:val="23"/>
              </w:rPr>
              <w:fldChar w:fldCharType="end"/>
            </w:r>
          </w:hyperlink>
        </w:p>
        <w:p w14:paraId="38C76184" w14:textId="7FCFCD1E" w:rsidR="000A3424" w:rsidRPr="000A3424" w:rsidRDefault="003F295B">
          <w:pPr>
            <w:pStyle w:val="TOC2"/>
            <w:tabs>
              <w:tab w:val="right" w:leader="dot" w:pos="9016"/>
            </w:tabs>
            <w:rPr>
              <w:noProof/>
              <w:sz w:val="23"/>
              <w:szCs w:val="23"/>
            </w:rPr>
          </w:pPr>
          <w:hyperlink w:anchor="_Toc72840892" w:history="1">
            <w:r w:rsidR="000A3424" w:rsidRPr="000A3424">
              <w:rPr>
                <w:rStyle w:val="Hyperlink"/>
                <w:rFonts w:cstheme="minorHAnsi"/>
                <w:noProof/>
                <w:sz w:val="23"/>
                <w:szCs w:val="23"/>
              </w:rPr>
              <w:t>2.3 Methodology</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_Toc72840892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7</w:t>
            </w:r>
            <w:r w:rsidR="000A3424" w:rsidRPr="000A3424">
              <w:rPr>
                <w:noProof/>
                <w:webHidden/>
                <w:sz w:val="23"/>
                <w:szCs w:val="23"/>
              </w:rPr>
              <w:fldChar w:fldCharType="end"/>
            </w:r>
          </w:hyperlink>
        </w:p>
        <w:p w14:paraId="53F4E802" w14:textId="3EA1C7D2" w:rsidR="000A3424" w:rsidRPr="000A3424" w:rsidRDefault="003F295B">
          <w:pPr>
            <w:pStyle w:val="TOC3"/>
            <w:tabs>
              <w:tab w:val="right" w:leader="dot" w:pos="9016"/>
            </w:tabs>
            <w:rPr>
              <w:noProof/>
              <w:sz w:val="23"/>
              <w:szCs w:val="23"/>
            </w:rPr>
          </w:pPr>
          <w:hyperlink w:anchor="_Toc72840893" w:history="1">
            <w:r w:rsidR="000A3424" w:rsidRPr="000A3424">
              <w:rPr>
                <w:rStyle w:val="Hyperlink"/>
                <w:rFonts w:eastAsiaTheme="majorEastAsia" w:cstheme="minorHAnsi"/>
                <w:noProof/>
                <w:sz w:val="23"/>
                <w:szCs w:val="23"/>
              </w:rPr>
              <w:t>2.3.1 Data source</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_Toc72840893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7</w:t>
            </w:r>
            <w:r w:rsidR="000A3424" w:rsidRPr="000A3424">
              <w:rPr>
                <w:noProof/>
                <w:webHidden/>
                <w:sz w:val="23"/>
                <w:szCs w:val="23"/>
              </w:rPr>
              <w:fldChar w:fldCharType="end"/>
            </w:r>
          </w:hyperlink>
        </w:p>
        <w:p w14:paraId="75757382" w14:textId="21708D62" w:rsidR="000A3424" w:rsidRPr="000A3424" w:rsidRDefault="003F295B">
          <w:pPr>
            <w:pStyle w:val="TOC3"/>
            <w:tabs>
              <w:tab w:val="right" w:leader="dot" w:pos="9016"/>
            </w:tabs>
            <w:rPr>
              <w:noProof/>
              <w:sz w:val="23"/>
              <w:szCs w:val="23"/>
            </w:rPr>
          </w:pPr>
          <w:hyperlink w:anchor="_Toc72840894" w:history="1">
            <w:r w:rsidR="000A3424" w:rsidRPr="000A3424">
              <w:rPr>
                <w:rStyle w:val="Hyperlink"/>
                <w:rFonts w:eastAsiaTheme="majorEastAsia" w:cstheme="minorHAnsi"/>
                <w:noProof/>
                <w:sz w:val="23"/>
                <w:szCs w:val="23"/>
              </w:rPr>
              <w:t>2.3.2 Methods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_Toc72840894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8</w:t>
            </w:r>
            <w:r w:rsidR="000A3424" w:rsidRPr="000A3424">
              <w:rPr>
                <w:noProof/>
                <w:webHidden/>
                <w:sz w:val="23"/>
                <w:szCs w:val="23"/>
              </w:rPr>
              <w:fldChar w:fldCharType="end"/>
            </w:r>
          </w:hyperlink>
        </w:p>
        <w:p w14:paraId="35DD39D0" w14:textId="1220D1F3" w:rsidR="000A3424" w:rsidRPr="000A3424" w:rsidRDefault="003F295B">
          <w:pPr>
            <w:pStyle w:val="TOC2"/>
            <w:tabs>
              <w:tab w:val="right" w:leader="dot" w:pos="9016"/>
            </w:tabs>
            <w:rPr>
              <w:noProof/>
              <w:sz w:val="23"/>
              <w:szCs w:val="23"/>
            </w:rPr>
          </w:pPr>
          <w:hyperlink w:anchor="_Toc72840895" w:history="1">
            <w:r w:rsidR="000A3424" w:rsidRPr="000A3424">
              <w:rPr>
                <w:rStyle w:val="Hyperlink"/>
                <w:rFonts w:cstheme="minorHAnsi"/>
                <w:noProof/>
                <w:sz w:val="23"/>
                <w:szCs w:val="23"/>
              </w:rPr>
              <w:t>2.4 Results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_Toc72840895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12</w:t>
            </w:r>
            <w:r w:rsidR="000A3424" w:rsidRPr="000A3424">
              <w:rPr>
                <w:noProof/>
                <w:webHidden/>
                <w:sz w:val="23"/>
                <w:szCs w:val="23"/>
              </w:rPr>
              <w:fldChar w:fldCharType="end"/>
            </w:r>
          </w:hyperlink>
        </w:p>
        <w:p w14:paraId="02FFB682" w14:textId="2A916919" w:rsidR="000A3424" w:rsidRPr="000A3424" w:rsidRDefault="003F295B">
          <w:pPr>
            <w:pStyle w:val="TOC3"/>
            <w:tabs>
              <w:tab w:val="right" w:leader="dot" w:pos="9016"/>
            </w:tabs>
            <w:rPr>
              <w:noProof/>
              <w:sz w:val="23"/>
              <w:szCs w:val="23"/>
            </w:rPr>
          </w:pPr>
          <w:hyperlink w:anchor="_Toc72840896" w:history="1">
            <w:r w:rsidR="000A3424" w:rsidRPr="000A3424">
              <w:rPr>
                <w:rStyle w:val="Hyperlink"/>
                <w:rFonts w:cstheme="minorHAnsi"/>
                <w:noProof/>
                <w:sz w:val="23"/>
                <w:szCs w:val="23"/>
              </w:rPr>
              <w:t>2.4.1 Overall trends in utilisation and cost of smoking cessation medicines in Australia</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_Toc72840896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12</w:t>
            </w:r>
            <w:r w:rsidR="000A3424" w:rsidRPr="000A3424">
              <w:rPr>
                <w:noProof/>
                <w:webHidden/>
                <w:sz w:val="23"/>
                <w:szCs w:val="23"/>
              </w:rPr>
              <w:fldChar w:fldCharType="end"/>
            </w:r>
          </w:hyperlink>
        </w:p>
        <w:p w14:paraId="270959D1" w14:textId="02DFAAC6" w:rsidR="000A3424" w:rsidRPr="000A3424" w:rsidRDefault="003F295B">
          <w:pPr>
            <w:pStyle w:val="TOC3"/>
            <w:tabs>
              <w:tab w:val="right" w:leader="dot" w:pos="9016"/>
            </w:tabs>
            <w:rPr>
              <w:noProof/>
              <w:sz w:val="23"/>
              <w:szCs w:val="23"/>
            </w:rPr>
          </w:pPr>
          <w:hyperlink w:anchor="_Toc72840897" w:history="1">
            <w:r w:rsidR="000A3424" w:rsidRPr="000A3424">
              <w:rPr>
                <w:rStyle w:val="Hyperlink"/>
                <w:rFonts w:cstheme="minorHAnsi"/>
                <w:noProof/>
                <w:sz w:val="23"/>
                <w:szCs w:val="23"/>
              </w:rPr>
              <w:t>2.4.2 Prevalent and incident population treated with PBS listed medicines for smoking cessation</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_Toc72840897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18</w:t>
            </w:r>
            <w:r w:rsidR="000A3424" w:rsidRPr="000A3424">
              <w:rPr>
                <w:noProof/>
                <w:webHidden/>
                <w:sz w:val="23"/>
                <w:szCs w:val="23"/>
              </w:rPr>
              <w:fldChar w:fldCharType="end"/>
            </w:r>
          </w:hyperlink>
        </w:p>
        <w:p w14:paraId="2CC7706F" w14:textId="7D1DD46A" w:rsidR="000A3424" w:rsidRPr="000A3424" w:rsidRDefault="003F295B">
          <w:pPr>
            <w:pStyle w:val="TOC3"/>
            <w:tabs>
              <w:tab w:val="right" w:leader="dot" w:pos="9016"/>
            </w:tabs>
            <w:rPr>
              <w:noProof/>
              <w:sz w:val="23"/>
              <w:szCs w:val="23"/>
            </w:rPr>
          </w:pPr>
          <w:hyperlink w:anchor="_Toc72840898" w:history="1">
            <w:r w:rsidR="000A3424" w:rsidRPr="000A3424">
              <w:rPr>
                <w:rStyle w:val="Hyperlink"/>
                <w:rFonts w:cstheme="minorHAnsi"/>
                <w:noProof/>
                <w:sz w:val="23"/>
                <w:szCs w:val="23"/>
              </w:rPr>
              <w:t>2.4.3 Treatment rates at national and state level based on PBS data</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_Toc72840898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22</w:t>
            </w:r>
            <w:r w:rsidR="000A3424" w:rsidRPr="000A3424">
              <w:rPr>
                <w:noProof/>
                <w:webHidden/>
                <w:sz w:val="23"/>
                <w:szCs w:val="23"/>
              </w:rPr>
              <w:fldChar w:fldCharType="end"/>
            </w:r>
          </w:hyperlink>
        </w:p>
        <w:p w14:paraId="7A312411" w14:textId="2DAB7413" w:rsidR="000A3424" w:rsidRPr="000A3424" w:rsidRDefault="003F295B">
          <w:pPr>
            <w:pStyle w:val="TOC3"/>
            <w:tabs>
              <w:tab w:val="right" w:leader="dot" w:pos="9016"/>
            </w:tabs>
            <w:rPr>
              <w:noProof/>
              <w:sz w:val="23"/>
              <w:szCs w:val="23"/>
            </w:rPr>
          </w:pPr>
          <w:hyperlink w:anchor="_Toc72840899" w:history="1">
            <w:r w:rsidR="000A3424" w:rsidRPr="000A3424">
              <w:rPr>
                <w:rStyle w:val="Hyperlink"/>
                <w:rFonts w:cstheme="minorHAnsi"/>
                <w:noProof/>
                <w:sz w:val="23"/>
                <w:szCs w:val="23"/>
              </w:rPr>
              <w:t>2.4.4 Prevalence of smoking cessation therapies under the PBS in specific populations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_Toc72840899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24</w:t>
            </w:r>
            <w:r w:rsidR="000A3424" w:rsidRPr="000A3424">
              <w:rPr>
                <w:noProof/>
                <w:webHidden/>
                <w:sz w:val="23"/>
                <w:szCs w:val="23"/>
              </w:rPr>
              <w:fldChar w:fldCharType="end"/>
            </w:r>
          </w:hyperlink>
        </w:p>
        <w:p w14:paraId="4A41A6E6" w14:textId="3C5DB8CE" w:rsidR="000A3424" w:rsidRPr="000A3424" w:rsidRDefault="003F295B">
          <w:pPr>
            <w:pStyle w:val="TOC3"/>
            <w:tabs>
              <w:tab w:val="right" w:leader="dot" w:pos="9016"/>
            </w:tabs>
            <w:rPr>
              <w:noProof/>
              <w:sz w:val="23"/>
              <w:szCs w:val="23"/>
            </w:rPr>
          </w:pPr>
          <w:hyperlink w:anchor="_Toc72840900" w:history="1">
            <w:r w:rsidR="000A3424" w:rsidRPr="000A3424">
              <w:rPr>
                <w:rStyle w:val="Hyperlink"/>
                <w:rFonts w:cstheme="minorHAnsi"/>
                <w:noProof/>
                <w:sz w:val="23"/>
                <w:szCs w:val="23"/>
              </w:rPr>
              <w:t>2.4.5 Prevalence of smoking in Australia in the general and specific populations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_Toc72840900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26</w:t>
            </w:r>
            <w:r w:rsidR="000A3424" w:rsidRPr="000A3424">
              <w:rPr>
                <w:noProof/>
                <w:webHidden/>
                <w:sz w:val="23"/>
                <w:szCs w:val="23"/>
              </w:rPr>
              <w:fldChar w:fldCharType="end"/>
            </w:r>
          </w:hyperlink>
        </w:p>
        <w:p w14:paraId="53AC8FCF" w14:textId="557B51E2" w:rsidR="000A3424" w:rsidRPr="000A3424" w:rsidRDefault="003F295B">
          <w:pPr>
            <w:pStyle w:val="TOC3"/>
            <w:tabs>
              <w:tab w:val="right" w:leader="dot" w:pos="9016"/>
            </w:tabs>
            <w:rPr>
              <w:noProof/>
              <w:sz w:val="23"/>
              <w:szCs w:val="23"/>
            </w:rPr>
          </w:pPr>
          <w:hyperlink w:anchor="_Toc72840901" w:history="1">
            <w:r w:rsidR="000A3424" w:rsidRPr="000A3424">
              <w:rPr>
                <w:rStyle w:val="Hyperlink"/>
                <w:rFonts w:cstheme="minorHAnsi"/>
                <w:noProof/>
                <w:sz w:val="23"/>
                <w:szCs w:val="23"/>
              </w:rPr>
              <w:t>2.4.6 Trajectory of care</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_Toc72840901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35</w:t>
            </w:r>
            <w:r w:rsidR="000A3424" w:rsidRPr="000A3424">
              <w:rPr>
                <w:noProof/>
                <w:webHidden/>
                <w:sz w:val="23"/>
                <w:szCs w:val="23"/>
              </w:rPr>
              <w:fldChar w:fldCharType="end"/>
            </w:r>
          </w:hyperlink>
        </w:p>
        <w:p w14:paraId="1E15D244" w14:textId="00B111B6" w:rsidR="000A3424" w:rsidRPr="000A3424" w:rsidRDefault="003F295B">
          <w:pPr>
            <w:pStyle w:val="TOC3"/>
            <w:tabs>
              <w:tab w:val="right" w:leader="dot" w:pos="9016"/>
            </w:tabs>
            <w:rPr>
              <w:noProof/>
              <w:sz w:val="23"/>
              <w:szCs w:val="23"/>
            </w:rPr>
          </w:pPr>
          <w:hyperlink w:anchor="_Toc72840902" w:history="1">
            <w:r w:rsidR="000A3424" w:rsidRPr="000A3424">
              <w:rPr>
                <w:rStyle w:val="Hyperlink"/>
                <w:rFonts w:cstheme="minorHAnsi"/>
                <w:noProof/>
                <w:sz w:val="23"/>
                <w:szCs w:val="23"/>
              </w:rPr>
              <w:t>2.4.7 Number of therapies and length of treatment with smoking cessation medicines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_Toc72840902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40</w:t>
            </w:r>
            <w:r w:rsidR="000A3424" w:rsidRPr="000A3424">
              <w:rPr>
                <w:noProof/>
                <w:webHidden/>
                <w:sz w:val="23"/>
                <w:szCs w:val="23"/>
              </w:rPr>
              <w:fldChar w:fldCharType="end"/>
            </w:r>
          </w:hyperlink>
        </w:p>
        <w:p w14:paraId="46303AEB" w14:textId="5B54E557" w:rsidR="000A3424" w:rsidRPr="000A3424" w:rsidRDefault="003F295B">
          <w:pPr>
            <w:pStyle w:val="TOC3"/>
            <w:tabs>
              <w:tab w:val="right" w:leader="dot" w:pos="9016"/>
            </w:tabs>
            <w:rPr>
              <w:noProof/>
              <w:sz w:val="23"/>
              <w:szCs w:val="23"/>
            </w:rPr>
          </w:pPr>
          <w:hyperlink w:anchor="_Toc72840903" w:history="1">
            <w:r w:rsidR="000A3424" w:rsidRPr="000A3424">
              <w:rPr>
                <w:rStyle w:val="Hyperlink"/>
                <w:rFonts w:cstheme="minorHAnsi"/>
                <w:noProof/>
                <w:sz w:val="23"/>
                <w:szCs w:val="23"/>
              </w:rPr>
              <w:t>2.4.8 Consistency with PBS restrictions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_Toc72840903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44</w:t>
            </w:r>
            <w:r w:rsidR="000A3424" w:rsidRPr="000A3424">
              <w:rPr>
                <w:noProof/>
                <w:webHidden/>
                <w:sz w:val="23"/>
                <w:szCs w:val="23"/>
              </w:rPr>
              <w:fldChar w:fldCharType="end"/>
            </w:r>
          </w:hyperlink>
        </w:p>
        <w:p w14:paraId="43511666" w14:textId="08EEBB31" w:rsidR="000A3424" w:rsidRPr="000A3424" w:rsidRDefault="003F295B">
          <w:pPr>
            <w:pStyle w:val="TOC2"/>
            <w:tabs>
              <w:tab w:val="right" w:leader="dot" w:pos="9016"/>
            </w:tabs>
            <w:rPr>
              <w:noProof/>
              <w:sz w:val="23"/>
              <w:szCs w:val="23"/>
            </w:rPr>
          </w:pPr>
          <w:hyperlink w:anchor="_Toc72840904" w:history="1">
            <w:r w:rsidR="000A3424" w:rsidRPr="000A3424">
              <w:rPr>
                <w:rStyle w:val="Hyperlink"/>
                <w:rFonts w:cstheme="minorHAnsi"/>
                <w:noProof/>
                <w:sz w:val="23"/>
                <w:szCs w:val="23"/>
              </w:rPr>
              <w:t>2.5 Discussion</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_Toc72840904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48</w:t>
            </w:r>
            <w:r w:rsidR="000A3424" w:rsidRPr="000A3424">
              <w:rPr>
                <w:noProof/>
                <w:webHidden/>
                <w:sz w:val="23"/>
                <w:szCs w:val="23"/>
              </w:rPr>
              <w:fldChar w:fldCharType="end"/>
            </w:r>
          </w:hyperlink>
        </w:p>
        <w:p w14:paraId="18D51668" w14:textId="3444BEAC" w:rsidR="000A3424" w:rsidRDefault="003F295B">
          <w:pPr>
            <w:pStyle w:val="TOC1"/>
            <w:rPr>
              <w:noProof/>
              <w:sz w:val="22"/>
              <w:szCs w:val="22"/>
            </w:rPr>
          </w:pPr>
          <w:hyperlink w:anchor="_Toc72840905" w:history="1">
            <w:r w:rsidR="000A3424" w:rsidRPr="000A3424">
              <w:rPr>
                <w:rStyle w:val="Hyperlink"/>
                <w:noProof/>
                <w:sz w:val="23"/>
                <w:szCs w:val="23"/>
              </w:rPr>
              <w:t>References</w:t>
            </w:r>
            <w:r w:rsidR="000A3424" w:rsidRPr="000A3424">
              <w:rPr>
                <w:noProof/>
                <w:webHidden/>
                <w:sz w:val="23"/>
                <w:szCs w:val="23"/>
              </w:rPr>
              <w:tab/>
            </w:r>
            <w:r w:rsidR="000A3424" w:rsidRPr="000A3424">
              <w:rPr>
                <w:noProof/>
                <w:webHidden/>
                <w:sz w:val="23"/>
                <w:szCs w:val="23"/>
              </w:rPr>
              <w:fldChar w:fldCharType="begin"/>
            </w:r>
            <w:r w:rsidR="000A3424" w:rsidRPr="000A3424">
              <w:rPr>
                <w:noProof/>
                <w:webHidden/>
                <w:sz w:val="23"/>
                <w:szCs w:val="23"/>
              </w:rPr>
              <w:instrText xml:space="preserve"> PAGEREF _Toc72840905 \h </w:instrText>
            </w:r>
            <w:r w:rsidR="000A3424" w:rsidRPr="000A3424">
              <w:rPr>
                <w:noProof/>
                <w:webHidden/>
                <w:sz w:val="23"/>
                <w:szCs w:val="23"/>
              </w:rPr>
            </w:r>
            <w:r w:rsidR="000A3424" w:rsidRPr="000A3424">
              <w:rPr>
                <w:noProof/>
                <w:webHidden/>
                <w:sz w:val="23"/>
                <w:szCs w:val="23"/>
              </w:rPr>
              <w:fldChar w:fldCharType="separate"/>
            </w:r>
            <w:r>
              <w:rPr>
                <w:noProof/>
                <w:webHidden/>
                <w:sz w:val="23"/>
                <w:szCs w:val="23"/>
              </w:rPr>
              <w:t>49</w:t>
            </w:r>
            <w:r w:rsidR="000A3424" w:rsidRPr="000A3424">
              <w:rPr>
                <w:noProof/>
                <w:webHidden/>
                <w:sz w:val="23"/>
                <w:szCs w:val="23"/>
              </w:rPr>
              <w:fldChar w:fldCharType="end"/>
            </w:r>
          </w:hyperlink>
        </w:p>
        <w:p w14:paraId="1133030D" w14:textId="089E9546" w:rsidR="00804D55" w:rsidRPr="00A143EC" w:rsidRDefault="00032349" w:rsidP="00F266DF">
          <w:pPr>
            <w:rPr>
              <w:sz w:val="23"/>
              <w:szCs w:val="23"/>
            </w:rPr>
          </w:pPr>
          <w:r w:rsidRPr="00A143EC">
            <w:rPr>
              <w:b/>
              <w:bCs/>
              <w:noProof/>
              <w:sz w:val="23"/>
              <w:szCs w:val="23"/>
            </w:rPr>
            <w:fldChar w:fldCharType="end"/>
          </w:r>
        </w:p>
      </w:sdtContent>
    </w:sdt>
    <w:p w14:paraId="72487BCD" w14:textId="77777777" w:rsidR="00F266DF" w:rsidRPr="00A143EC" w:rsidRDefault="00F266DF">
      <w:pPr>
        <w:spacing w:after="0"/>
        <w:rPr>
          <w:rFonts w:eastAsia="Times New Roman" w:cs="Arial"/>
          <w:b/>
          <w:bCs/>
          <w:color w:val="548DD4" w:themeColor="text2" w:themeTint="99"/>
          <w:kern w:val="28"/>
          <w:sz w:val="23"/>
          <w:szCs w:val="23"/>
          <w:lang w:eastAsia="en-US"/>
        </w:rPr>
      </w:pPr>
      <w:r w:rsidRPr="00A143EC">
        <w:rPr>
          <w:color w:val="548DD4" w:themeColor="text2" w:themeTint="99"/>
          <w:sz w:val="23"/>
          <w:szCs w:val="23"/>
        </w:rPr>
        <w:br w:type="page"/>
      </w:r>
    </w:p>
    <w:p w14:paraId="6D08CA29" w14:textId="12D0E0B0" w:rsidR="00322020" w:rsidRPr="00486248" w:rsidRDefault="00322020" w:rsidP="00322020">
      <w:pPr>
        <w:pStyle w:val="Heading1"/>
        <w:spacing w:before="480" w:after="240"/>
        <w:jc w:val="center"/>
        <w:rPr>
          <w:rFonts w:asciiTheme="minorHAnsi" w:hAnsiTheme="minorHAnsi"/>
          <w:color w:val="4F81BD" w:themeColor="accent1"/>
          <w:sz w:val="40"/>
          <w:szCs w:val="40"/>
        </w:rPr>
      </w:pPr>
      <w:bookmarkStart w:id="14" w:name="_Toc72840879"/>
      <w:r w:rsidRPr="00486248">
        <w:rPr>
          <w:rFonts w:asciiTheme="minorHAnsi" w:hAnsiTheme="minorHAnsi"/>
          <w:color w:val="4F81BD" w:themeColor="accent1"/>
          <w:sz w:val="40"/>
          <w:szCs w:val="40"/>
        </w:rPr>
        <w:lastRenderedPageBreak/>
        <w:t>Abbreviations</w:t>
      </w:r>
      <w:bookmarkEnd w:id="14"/>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28"/>
        <w:gridCol w:w="6260"/>
      </w:tblGrid>
      <w:tr w:rsidR="00032349" w:rsidRPr="004B11B2" w14:paraId="5AC6D88B" w14:textId="77777777" w:rsidTr="00322020">
        <w:trPr>
          <w:trHeight w:val="411"/>
        </w:trPr>
        <w:tc>
          <w:tcPr>
            <w:tcW w:w="1928" w:type="dxa"/>
            <w:shd w:val="clear" w:color="auto" w:fill="BFBFBF" w:themeFill="background1" w:themeFillShade="BF"/>
            <w:vAlign w:val="bottom"/>
          </w:tcPr>
          <w:p w14:paraId="054068D4" w14:textId="77777777" w:rsidR="00032349" w:rsidRPr="00777386" w:rsidRDefault="00032349" w:rsidP="000F0087">
            <w:pPr>
              <w:spacing w:before="60" w:after="60"/>
              <w:rPr>
                <w:rFonts w:cs="Arial"/>
                <w:b/>
                <w:sz w:val="20"/>
                <w:szCs w:val="20"/>
              </w:rPr>
            </w:pPr>
            <w:r>
              <w:rPr>
                <w:rFonts w:cs="Arial"/>
                <w:b/>
                <w:sz w:val="20"/>
                <w:szCs w:val="20"/>
              </w:rPr>
              <w:t>Abbreviation</w:t>
            </w:r>
          </w:p>
        </w:tc>
        <w:tc>
          <w:tcPr>
            <w:tcW w:w="6260" w:type="dxa"/>
            <w:shd w:val="clear" w:color="auto" w:fill="BFBFBF" w:themeFill="background1" w:themeFillShade="BF"/>
            <w:vAlign w:val="bottom"/>
          </w:tcPr>
          <w:p w14:paraId="13025014" w14:textId="77777777" w:rsidR="00032349" w:rsidRPr="00777386" w:rsidRDefault="00032349" w:rsidP="000F0087">
            <w:pPr>
              <w:spacing w:before="60" w:after="60"/>
              <w:rPr>
                <w:rFonts w:cs="Arial"/>
                <w:b/>
                <w:sz w:val="20"/>
                <w:szCs w:val="20"/>
              </w:rPr>
            </w:pPr>
            <w:r>
              <w:rPr>
                <w:rFonts w:cs="Arial"/>
                <w:b/>
                <w:sz w:val="20"/>
                <w:szCs w:val="20"/>
              </w:rPr>
              <w:t xml:space="preserve">Full Name / Wording </w:t>
            </w:r>
          </w:p>
        </w:tc>
      </w:tr>
      <w:tr w:rsidR="00804D55" w:rsidRPr="004B11B2" w14:paraId="0E8CA452" w14:textId="77777777" w:rsidTr="008711B5">
        <w:trPr>
          <w:trHeight w:val="170"/>
        </w:trPr>
        <w:tc>
          <w:tcPr>
            <w:tcW w:w="1928" w:type="dxa"/>
            <w:shd w:val="clear" w:color="auto" w:fill="auto"/>
            <w:vAlign w:val="bottom"/>
          </w:tcPr>
          <w:p w14:paraId="196E3F10" w14:textId="7B083681" w:rsidR="00804D55" w:rsidRPr="00F366F4" w:rsidRDefault="00804D55" w:rsidP="008711B5">
            <w:pPr>
              <w:spacing w:before="60" w:after="60"/>
              <w:rPr>
                <w:color w:val="000000"/>
                <w:sz w:val="20"/>
              </w:rPr>
            </w:pPr>
            <w:r w:rsidRPr="003375D1">
              <w:rPr>
                <w:rFonts w:cs="Arial"/>
                <w:bCs/>
                <w:color w:val="000000"/>
                <w:sz w:val="20"/>
                <w:szCs w:val="20"/>
              </w:rPr>
              <w:t>ABS</w:t>
            </w:r>
          </w:p>
        </w:tc>
        <w:tc>
          <w:tcPr>
            <w:tcW w:w="6260" w:type="dxa"/>
            <w:shd w:val="clear" w:color="auto" w:fill="auto"/>
            <w:vAlign w:val="bottom"/>
          </w:tcPr>
          <w:p w14:paraId="3576183D" w14:textId="051FDB8B" w:rsidR="00804D55" w:rsidRPr="00F366F4" w:rsidRDefault="00804D55" w:rsidP="008711B5">
            <w:pPr>
              <w:spacing w:before="60" w:after="60"/>
              <w:rPr>
                <w:color w:val="000000"/>
                <w:sz w:val="20"/>
              </w:rPr>
            </w:pPr>
            <w:r w:rsidRPr="003375D1">
              <w:rPr>
                <w:bCs/>
                <w:iCs/>
                <w:sz w:val="20"/>
                <w:szCs w:val="20"/>
              </w:rPr>
              <w:t>Australian Bureau of Statistics</w:t>
            </w:r>
          </w:p>
        </w:tc>
      </w:tr>
      <w:tr w:rsidR="00032349" w:rsidRPr="004B11B2" w14:paraId="04C2D9C0" w14:textId="77777777" w:rsidTr="00322020">
        <w:trPr>
          <w:trHeight w:val="170"/>
        </w:trPr>
        <w:tc>
          <w:tcPr>
            <w:tcW w:w="1928" w:type="dxa"/>
            <w:shd w:val="clear" w:color="auto" w:fill="auto"/>
            <w:vAlign w:val="bottom"/>
          </w:tcPr>
          <w:p w14:paraId="44888E31" w14:textId="77777777" w:rsidR="00032349" w:rsidRPr="00F366F4" w:rsidRDefault="00FD579A" w:rsidP="000F0087">
            <w:pPr>
              <w:spacing w:before="60" w:after="60"/>
              <w:rPr>
                <w:color w:val="000000"/>
                <w:sz w:val="20"/>
              </w:rPr>
            </w:pPr>
            <w:r w:rsidRPr="00F366F4">
              <w:rPr>
                <w:color w:val="000000"/>
                <w:sz w:val="20"/>
              </w:rPr>
              <w:t>ATC</w:t>
            </w:r>
          </w:p>
        </w:tc>
        <w:tc>
          <w:tcPr>
            <w:tcW w:w="6260" w:type="dxa"/>
            <w:shd w:val="clear" w:color="auto" w:fill="auto"/>
            <w:vAlign w:val="bottom"/>
          </w:tcPr>
          <w:p w14:paraId="45C3D4AD" w14:textId="77777777" w:rsidR="00032349" w:rsidRPr="00F366F4" w:rsidRDefault="00FD579A" w:rsidP="000F0087">
            <w:pPr>
              <w:spacing w:before="60" w:after="60"/>
              <w:rPr>
                <w:color w:val="000000"/>
                <w:sz w:val="20"/>
              </w:rPr>
            </w:pPr>
            <w:r w:rsidRPr="00F366F4">
              <w:rPr>
                <w:sz w:val="20"/>
              </w:rPr>
              <w:t>Anatomical Therapeutic Chemical Classification System</w:t>
            </w:r>
          </w:p>
        </w:tc>
      </w:tr>
      <w:tr w:rsidR="00804D55" w:rsidRPr="004B11B2" w14:paraId="024FA9CC" w14:textId="77777777" w:rsidTr="008711B5">
        <w:trPr>
          <w:trHeight w:val="170"/>
        </w:trPr>
        <w:tc>
          <w:tcPr>
            <w:tcW w:w="1928" w:type="dxa"/>
            <w:shd w:val="clear" w:color="auto" w:fill="auto"/>
            <w:vAlign w:val="bottom"/>
          </w:tcPr>
          <w:p w14:paraId="4228599D" w14:textId="77777777" w:rsidR="00804D55" w:rsidRPr="000152A6" w:rsidRDefault="00804D55" w:rsidP="008711B5">
            <w:pPr>
              <w:spacing w:before="60" w:after="60"/>
              <w:rPr>
                <w:rFonts w:cs="Arial"/>
                <w:sz w:val="20"/>
                <w:szCs w:val="20"/>
              </w:rPr>
            </w:pPr>
            <w:r>
              <w:rPr>
                <w:rFonts w:cs="Arial"/>
                <w:sz w:val="20"/>
                <w:szCs w:val="20"/>
              </w:rPr>
              <w:t>AUD</w:t>
            </w:r>
          </w:p>
        </w:tc>
        <w:tc>
          <w:tcPr>
            <w:tcW w:w="6260" w:type="dxa"/>
            <w:shd w:val="clear" w:color="auto" w:fill="auto"/>
            <w:vAlign w:val="bottom"/>
          </w:tcPr>
          <w:p w14:paraId="2102C516" w14:textId="77777777" w:rsidR="00804D55" w:rsidRPr="003375D1" w:rsidRDefault="00804D55" w:rsidP="008711B5">
            <w:pPr>
              <w:spacing w:before="60" w:after="60"/>
              <w:rPr>
                <w:rFonts w:cs="Arial"/>
                <w:color w:val="000000"/>
                <w:sz w:val="20"/>
                <w:szCs w:val="20"/>
              </w:rPr>
            </w:pPr>
            <w:r>
              <w:rPr>
                <w:rFonts w:cs="Arial"/>
                <w:color w:val="000000"/>
                <w:sz w:val="20"/>
                <w:szCs w:val="20"/>
              </w:rPr>
              <w:t>Australian Dollar</w:t>
            </w:r>
          </w:p>
        </w:tc>
      </w:tr>
      <w:tr w:rsidR="00804D55" w:rsidRPr="004B11B2" w14:paraId="1842C97C" w14:textId="77777777" w:rsidTr="008711B5">
        <w:trPr>
          <w:trHeight w:val="170"/>
        </w:trPr>
        <w:tc>
          <w:tcPr>
            <w:tcW w:w="1928" w:type="dxa"/>
            <w:shd w:val="clear" w:color="auto" w:fill="auto"/>
            <w:vAlign w:val="bottom"/>
          </w:tcPr>
          <w:p w14:paraId="4531B18E" w14:textId="77777777" w:rsidR="00804D55" w:rsidRPr="000152A6" w:rsidRDefault="00804D55" w:rsidP="008711B5">
            <w:pPr>
              <w:spacing w:before="60" w:after="60"/>
              <w:rPr>
                <w:rFonts w:cs="Arial"/>
                <w:sz w:val="20"/>
                <w:szCs w:val="20"/>
              </w:rPr>
            </w:pPr>
            <w:r w:rsidRPr="000152A6">
              <w:rPr>
                <w:rFonts w:cs="Arial"/>
                <w:sz w:val="20"/>
                <w:szCs w:val="20"/>
              </w:rPr>
              <w:t>CI</w:t>
            </w:r>
          </w:p>
        </w:tc>
        <w:tc>
          <w:tcPr>
            <w:tcW w:w="6260" w:type="dxa"/>
            <w:shd w:val="clear" w:color="auto" w:fill="auto"/>
            <w:vAlign w:val="bottom"/>
          </w:tcPr>
          <w:p w14:paraId="1E756224" w14:textId="77777777" w:rsidR="00804D55" w:rsidRPr="003375D1" w:rsidRDefault="00804D55" w:rsidP="008711B5">
            <w:pPr>
              <w:spacing w:before="60" w:after="60"/>
              <w:rPr>
                <w:rFonts w:cs="Arial"/>
                <w:color w:val="000000"/>
                <w:sz w:val="20"/>
                <w:szCs w:val="20"/>
              </w:rPr>
            </w:pPr>
            <w:r w:rsidRPr="003375D1">
              <w:rPr>
                <w:rFonts w:cs="Arial"/>
                <w:color w:val="000000"/>
                <w:sz w:val="20"/>
                <w:szCs w:val="20"/>
              </w:rPr>
              <w:t>Confidence Interval</w:t>
            </w:r>
          </w:p>
        </w:tc>
      </w:tr>
      <w:tr w:rsidR="00804D55" w:rsidRPr="004B11B2" w14:paraId="2F3B866C" w14:textId="77777777" w:rsidTr="008711B5">
        <w:trPr>
          <w:trHeight w:val="170"/>
        </w:trPr>
        <w:tc>
          <w:tcPr>
            <w:tcW w:w="1928" w:type="dxa"/>
            <w:shd w:val="clear" w:color="auto" w:fill="auto"/>
            <w:vAlign w:val="bottom"/>
          </w:tcPr>
          <w:p w14:paraId="55385BAF" w14:textId="77777777" w:rsidR="00804D55" w:rsidRPr="003375D1" w:rsidRDefault="00804D55" w:rsidP="008711B5">
            <w:pPr>
              <w:spacing w:before="60" w:after="60"/>
              <w:rPr>
                <w:rFonts w:cs="Arial"/>
                <w:color w:val="000000"/>
                <w:sz w:val="20"/>
                <w:szCs w:val="20"/>
              </w:rPr>
            </w:pPr>
            <w:r w:rsidRPr="003375D1">
              <w:rPr>
                <w:rFonts w:cs="Arial"/>
                <w:color w:val="000000"/>
                <w:sz w:val="20"/>
                <w:szCs w:val="20"/>
              </w:rPr>
              <w:t>N</w:t>
            </w:r>
          </w:p>
        </w:tc>
        <w:tc>
          <w:tcPr>
            <w:tcW w:w="6260" w:type="dxa"/>
            <w:shd w:val="clear" w:color="auto" w:fill="auto"/>
            <w:vAlign w:val="bottom"/>
          </w:tcPr>
          <w:p w14:paraId="6E2226E8" w14:textId="77777777" w:rsidR="00804D55" w:rsidRPr="003375D1" w:rsidRDefault="00804D55" w:rsidP="008711B5">
            <w:pPr>
              <w:spacing w:before="60" w:after="60"/>
              <w:rPr>
                <w:rFonts w:cs="Arial"/>
                <w:color w:val="000000"/>
                <w:sz w:val="20"/>
                <w:szCs w:val="20"/>
              </w:rPr>
            </w:pPr>
            <w:r w:rsidRPr="003375D1">
              <w:rPr>
                <w:rFonts w:cs="Arial"/>
                <w:color w:val="000000"/>
                <w:sz w:val="20"/>
                <w:szCs w:val="20"/>
              </w:rPr>
              <w:t>Number</w:t>
            </w:r>
          </w:p>
        </w:tc>
      </w:tr>
      <w:tr w:rsidR="0043625B" w:rsidRPr="004B11B2" w14:paraId="0CFDBA49" w14:textId="77777777" w:rsidTr="008711B5">
        <w:trPr>
          <w:trHeight w:val="170"/>
        </w:trPr>
        <w:tc>
          <w:tcPr>
            <w:tcW w:w="1928" w:type="dxa"/>
            <w:shd w:val="clear" w:color="auto" w:fill="auto"/>
            <w:vAlign w:val="bottom"/>
          </w:tcPr>
          <w:p w14:paraId="4CC5A607" w14:textId="29074372" w:rsidR="0043625B" w:rsidRPr="003375D1" w:rsidRDefault="0043625B" w:rsidP="008711B5">
            <w:pPr>
              <w:spacing w:before="60" w:after="60"/>
              <w:rPr>
                <w:rFonts w:cs="Arial"/>
                <w:color w:val="000000"/>
                <w:sz w:val="20"/>
                <w:szCs w:val="20"/>
              </w:rPr>
            </w:pPr>
            <w:r>
              <w:rPr>
                <w:rFonts w:cs="Arial"/>
                <w:color w:val="000000"/>
                <w:sz w:val="20"/>
                <w:szCs w:val="20"/>
              </w:rPr>
              <w:t>OTC</w:t>
            </w:r>
          </w:p>
        </w:tc>
        <w:tc>
          <w:tcPr>
            <w:tcW w:w="6260" w:type="dxa"/>
            <w:shd w:val="clear" w:color="auto" w:fill="auto"/>
            <w:vAlign w:val="bottom"/>
          </w:tcPr>
          <w:p w14:paraId="557F3AC0" w14:textId="18035A45" w:rsidR="0043625B" w:rsidRPr="003375D1" w:rsidRDefault="0043625B" w:rsidP="008711B5">
            <w:pPr>
              <w:spacing w:before="60" w:after="60"/>
              <w:rPr>
                <w:rFonts w:cs="Arial"/>
                <w:color w:val="000000"/>
                <w:sz w:val="20"/>
                <w:szCs w:val="20"/>
              </w:rPr>
            </w:pPr>
            <w:r>
              <w:rPr>
                <w:rFonts w:cs="Arial"/>
                <w:color w:val="000000"/>
                <w:sz w:val="20"/>
                <w:szCs w:val="20"/>
              </w:rPr>
              <w:t>over-the-counter</w:t>
            </w:r>
          </w:p>
        </w:tc>
      </w:tr>
      <w:tr w:rsidR="000152A6" w:rsidRPr="004B11B2" w14:paraId="228A5B29" w14:textId="77777777" w:rsidTr="00322020">
        <w:trPr>
          <w:trHeight w:val="170"/>
        </w:trPr>
        <w:tc>
          <w:tcPr>
            <w:tcW w:w="1928" w:type="dxa"/>
            <w:shd w:val="clear" w:color="auto" w:fill="auto"/>
            <w:vAlign w:val="bottom"/>
          </w:tcPr>
          <w:p w14:paraId="19A0A5B1" w14:textId="77777777" w:rsidR="000152A6" w:rsidRPr="003375D1" w:rsidRDefault="000152A6" w:rsidP="000F0087">
            <w:pPr>
              <w:spacing w:before="60" w:after="60"/>
              <w:rPr>
                <w:rFonts w:cs="Arial"/>
                <w:bCs/>
                <w:color w:val="000000"/>
                <w:sz w:val="20"/>
                <w:szCs w:val="20"/>
              </w:rPr>
            </w:pPr>
            <w:r>
              <w:rPr>
                <w:rFonts w:cs="Arial"/>
                <w:bCs/>
                <w:color w:val="000000"/>
                <w:sz w:val="20"/>
                <w:szCs w:val="20"/>
              </w:rPr>
              <w:t>PBAC</w:t>
            </w:r>
          </w:p>
        </w:tc>
        <w:tc>
          <w:tcPr>
            <w:tcW w:w="6260" w:type="dxa"/>
            <w:shd w:val="clear" w:color="auto" w:fill="auto"/>
            <w:vAlign w:val="bottom"/>
          </w:tcPr>
          <w:p w14:paraId="43014394" w14:textId="77777777" w:rsidR="000152A6" w:rsidRPr="003375D1" w:rsidRDefault="000152A6" w:rsidP="000F0087">
            <w:pPr>
              <w:spacing w:before="60" w:after="60"/>
              <w:rPr>
                <w:bCs/>
                <w:iCs/>
                <w:sz w:val="20"/>
                <w:szCs w:val="20"/>
              </w:rPr>
            </w:pPr>
            <w:r>
              <w:rPr>
                <w:bCs/>
                <w:iCs/>
                <w:sz w:val="20"/>
                <w:szCs w:val="20"/>
              </w:rPr>
              <w:t>Pharmaceutical Benefits Advisory Committee</w:t>
            </w:r>
          </w:p>
        </w:tc>
      </w:tr>
      <w:tr w:rsidR="00032349" w:rsidRPr="004B11B2" w14:paraId="42D4C34D" w14:textId="77777777" w:rsidTr="00322020">
        <w:trPr>
          <w:trHeight w:val="170"/>
        </w:trPr>
        <w:tc>
          <w:tcPr>
            <w:tcW w:w="1928" w:type="dxa"/>
            <w:shd w:val="clear" w:color="auto" w:fill="auto"/>
            <w:vAlign w:val="bottom"/>
          </w:tcPr>
          <w:p w14:paraId="30D7F7EE" w14:textId="77777777" w:rsidR="00032349" w:rsidRPr="00F366F4" w:rsidRDefault="00FD579A" w:rsidP="000F0087">
            <w:pPr>
              <w:spacing w:before="60" w:after="60"/>
              <w:rPr>
                <w:color w:val="000000"/>
                <w:sz w:val="20"/>
              </w:rPr>
            </w:pPr>
            <w:r w:rsidRPr="00F366F4">
              <w:rPr>
                <w:color w:val="000000"/>
                <w:sz w:val="20"/>
              </w:rPr>
              <w:t>PBS</w:t>
            </w:r>
          </w:p>
        </w:tc>
        <w:tc>
          <w:tcPr>
            <w:tcW w:w="6260" w:type="dxa"/>
            <w:shd w:val="clear" w:color="auto" w:fill="auto"/>
            <w:vAlign w:val="bottom"/>
          </w:tcPr>
          <w:p w14:paraId="684F3C9A" w14:textId="77777777" w:rsidR="00032349" w:rsidRPr="00F366F4" w:rsidRDefault="00FD579A" w:rsidP="000F0087">
            <w:pPr>
              <w:spacing w:before="60" w:after="60"/>
              <w:rPr>
                <w:color w:val="000000"/>
                <w:sz w:val="20"/>
              </w:rPr>
            </w:pPr>
            <w:r w:rsidRPr="00F366F4">
              <w:rPr>
                <w:sz w:val="20"/>
              </w:rPr>
              <w:t>Pharmaceutical Benefits Scheme</w:t>
            </w:r>
          </w:p>
        </w:tc>
      </w:tr>
    </w:tbl>
    <w:p w14:paraId="77553544" w14:textId="77777777" w:rsidR="00804D55" w:rsidRDefault="00804D55" w:rsidP="003D2D7F">
      <w:pPr>
        <w:pStyle w:val="Heading1"/>
        <w:jc w:val="center"/>
        <w:rPr>
          <w:rFonts w:ascii="Calibri" w:eastAsiaTheme="majorEastAsia" w:hAnsi="Calibri" w:cstheme="majorBidi"/>
          <w:color w:val="4F81BD" w:themeColor="accent1"/>
          <w:kern w:val="0"/>
          <w:sz w:val="40"/>
          <w:szCs w:val="26"/>
          <w:lang w:eastAsia="en-AU"/>
        </w:rPr>
      </w:pPr>
    </w:p>
    <w:p w14:paraId="1AE958CF" w14:textId="496C9956" w:rsidR="00804D55" w:rsidRDefault="00804D55">
      <w:pPr>
        <w:spacing w:after="0"/>
        <w:rPr>
          <w:rFonts w:ascii="Calibri" w:eastAsiaTheme="majorEastAsia" w:hAnsi="Calibri" w:cstheme="majorBidi"/>
          <w:b/>
          <w:bCs/>
          <w:color w:val="4F81BD" w:themeColor="accent1"/>
          <w:sz w:val="40"/>
          <w:szCs w:val="26"/>
        </w:rPr>
      </w:pPr>
      <w:r>
        <w:rPr>
          <w:rFonts w:ascii="Calibri" w:eastAsiaTheme="majorEastAsia" w:hAnsi="Calibri" w:cstheme="majorBidi"/>
          <w:color w:val="4F81BD" w:themeColor="accent1"/>
          <w:sz w:val="40"/>
          <w:szCs w:val="26"/>
        </w:rPr>
        <w:br w:type="page"/>
      </w:r>
    </w:p>
    <w:p w14:paraId="0500AE48" w14:textId="77777777" w:rsidR="0010093A" w:rsidRPr="00486248" w:rsidRDefault="0010093A" w:rsidP="003D2D7F">
      <w:pPr>
        <w:pStyle w:val="Heading1"/>
        <w:jc w:val="center"/>
        <w:rPr>
          <w:rFonts w:ascii="Calibri" w:eastAsiaTheme="majorEastAsia" w:hAnsi="Calibri" w:cstheme="majorBidi"/>
          <w:color w:val="4F81BD" w:themeColor="accent1"/>
          <w:kern w:val="0"/>
          <w:sz w:val="40"/>
          <w:szCs w:val="26"/>
          <w:lang w:eastAsia="en-AU"/>
        </w:rPr>
      </w:pPr>
      <w:bookmarkStart w:id="15" w:name="_Toc72840880"/>
      <w:r w:rsidRPr="00486248">
        <w:rPr>
          <w:rFonts w:ascii="Calibri" w:eastAsiaTheme="majorEastAsia" w:hAnsi="Calibri" w:cstheme="majorBidi"/>
          <w:color w:val="4F81BD" w:themeColor="accent1"/>
          <w:kern w:val="0"/>
          <w:sz w:val="40"/>
          <w:szCs w:val="26"/>
          <w:lang w:eastAsia="en-AU"/>
        </w:rPr>
        <w:lastRenderedPageBreak/>
        <w:t>Section 2: ToR 2</w:t>
      </w:r>
      <w:bookmarkEnd w:id="15"/>
    </w:p>
    <w:p w14:paraId="062AB2A9" w14:textId="77777777" w:rsidR="00322020" w:rsidRPr="00F366F4" w:rsidRDefault="00325DB8" w:rsidP="00F366F4">
      <w:pPr>
        <w:pStyle w:val="Heading2"/>
        <w:keepLines/>
        <w:spacing w:after="200"/>
        <w:ind w:left="576" w:hanging="576"/>
        <w:rPr>
          <w:rFonts w:ascii="Calibri" w:eastAsiaTheme="majorEastAsia" w:hAnsi="Calibri"/>
          <w:color w:val="4F81BD" w:themeColor="accent1"/>
          <w:sz w:val="40"/>
          <w:szCs w:val="40"/>
        </w:rPr>
      </w:pPr>
      <w:bookmarkStart w:id="16" w:name="_Toc72840881"/>
      <w:r w:rsidRPr="00757681">
        <w:rPr>
          <w:rFonts w:ascii="Calibri" w:eastAsiaTheme="majorEastAsia" w:hAnsi="Calibri" w:cstheme="majorBidi"/>
          <w:i w:val="0"/>
          <w:iCs w:val="0"/>
          <w:color w:val="4F81BD" w:themeColor="accent1"/>
          <w:sz w:val="40"/>
          <w:szCs w:val="40"/>
          <w:lang w:eastAsia="en-AU"/>
        </w:rPr>
        <w:t xml:space="preserve">2.1 </w:t>
      </w:r>
      <w:r w:rsidR="00322020" w:rsidRPr="00F366F4">
        <w:rPr>
          <w:rFonts w:ascii="Calibri" w:eastAsiaTheme="majorEastAsia" w:hAnsi="Calibri"/>
          <w:i w:val="0"/>
          <w:color w:val="4F81BD" w:themeColor="accent1"/>
          <w:sz w:val="40"/>
          <w:szCs w:val="40"/>
        </w:rPr>
        <w:t>Key findings</w:t>
      </w:r>
      <w:bookmarkEnd w:id="16"/>
      <w:r w:rsidR="005071A7" w:rsidRPr="00757681">
        <w:rPr>
          <w:rFonts w:ascii="Calibri" w:eastAsiaTheme="majorEastAsia" w:hAnsi="Calibri" w:cstheme="majorBidi"/>
          <w:i w:val="0"/>
          <w:iCs w:val="0"/>
          <w:color w:val="4F81BD" w:themeColor="accent1"/>
          <w:sz w:val="40"/>
          <w:szCs w:val="40"/>
          <w:lang w:eastAsia="en-AU"/>
        </w:rPr>
        <w:t xml:space="preserve"> </w:t>
      </w:r>
    </w:p>
    <w:p w14:paraId="2F14C135" w14:textId="77777777" w:rsidR="00A21ED4" w:rsidRDefault="00A21ED4" w:rsidP="00A21ED4">
      <w:pPr>
        <w:rPr>
          <w:iCs/>
        </w:rPr>
      </w:pPr>
      <w:r>
        <w:rPr>
          <w:lang w:eastAsia="en-US"/>
        </w:rPr>
        <w:t xml:space="preserve">This report </w:t>
      </w:r>
      <w:r>
        <w:t>provides a</w:t>
      </w:r>
      <w:r w:rsidR="00DC5105">
        <w:t>n</w:t>
      </w:r>
      <w:r>
        <w:t xml:space="preserve"> </w:t>
      </w:r>
      <w:r>
        <w:rPr>
          <w:iCs/>
        </w:rPr>
        <w:t xml:space="preserve">analysis </w:t>
      </w:r>
      <w:r w:rsidRPr="00A80CC9">
        <w:rPr>
          <w:iCs/>
        </w:rPr>
        <w:t xml:space="preserve">of </w:t>
      </w:r>
      <w:r w:rsidR="00DC5105">
        <w:rPr>
          <w:iCs/>
        </w:rPr>
        <w:t xml:space="preserve">utilisation of </w:t>
      </w:r>
      <w:r w:rsidRPr="00A80CC9">
        <w:rPr>
          <w:iCs/>
        </w:rPr>
        <w:t>PBS-listed medicines for smoking cessation</w:t>
      </w:r>
      <w:r>
        <w:rPr>
          <w:iCs/>
        </w:rPr>
        <w:t>.</w:t>
      </w:r>
      <w:r w:rsidRPr="00A80CC9">
        <w:rPr>
          <w:iCs/>
        </w:rPr>
        <w:t xml:space="preserve"> </w:t>
      </w:r>
    </w:p>
    <w:p w14:paraId="5787E446" w14:textId="77777777" w:rsidR="00B56576" w:rsidRPr="000A3424" w:rsidRDefault="00B56576" w:rsidP="00B56576">
      <w:pPr>
        <w:pStyle w:val="Heading3"/>
        <w:keepLines/>
        <w:numPr>
          <w:ilvl w:val="2"/>
          <w:numId w:val="24"/>
        </w:numPr>
        <w:spacing w:after="20"/>
        <w:rPr>
          <w:rFonts w:asciiTheme="minorHAnsi" w:eastAsiaTheme="majorEastAsia" w:hAnsiTheme="minorHAnsi" w:cstheme="majorBidi"/>
          <w:b/>
          <w:i/>
          <w:szCs w:val="24"/>
          <w:lang w:eastAsia="en-AU"/>
        </w:rPr>
      </w:pPr>
      <w:bookmarkStart w:id="17" w:name="_Toc69976529"/>
      <w:bookmarkStart w:id="18" w:name="_Toc72840882"/>
      <w:r w:rsidRPr="000A3424">
        <w:rPr>
          <w:rFonts w:asciiTheme="minorHAnsi" w:eastAsiaTheme="majorEastAsia" w:hAnsiTheme="minorHAnsi" w:cstheme="majorBidi"/>
          <w:b/>
          <w:i/>
          <w:szCs w:val="24"/>
          <w:lang w:eastAsia="en-AU"/>
        </w:rPr>
        <w:t>Describe the overall trends in the utilisation and cost of smoking cessation medicines in Australia</w:t>
      </w:r>
      <w:bookmarkEnd w:id="17"/>
      <w:bookmarkEnd w:id="18"/>
    </w:p>
    <w:p w14:paraId="134D47A2" w14:textId="77777777" w:rsidR="00B56576" w:rsidRPr="00B56576" w:rsidRDefault="00B56576" w:rsidP="00B56576">
      <w:pPr>
        <w:spacing w:before="240" w:after="0"/>
        <w:rPr>
          <w:rFonts w:cstheme="minorHAnsi"/>
        </w:rPr>
      </w:pPr>
      <w:r w:rsidRPr="00B56576">
        <w:t xml:space="preserve">In the </w:t>
      </w:r>
      <w:r w:rsidRPr="00B56576">
        <w:rPr>
          <w:rFonts w:cstheme="minorHAnsi"/>
        </w:rPr>
        <w:t>financial year 2019/2020:</w:t>
      </w:r>
    </w:p>
    <w:p w14:paraId="16C1C6C1" w14:textId="77777777" w:rsidR="00B56576" w:rsidRPr="00B56576" w:rsidRDefault="00B56576" w:rsidP="00B56576">
      <w:pPr>
        <w:pStyle w:val="NoSpacing"/>
        <w:numPr>
          <w:ilvl w:val="0"/>
          <w:numId w:val="6"/>
        </w:numPr>
        <w:rPr>
          <w:rFonts w:asciiTheme="minorHAnsi" w:hAnsiTheme="minorHAnsi" w:cstheme="minorHAnsi"/>
        </w:rPr>
      </w:pPr>
      <w:r w:rsidRPr="00B56576">
        <w:rPr>
          <w:rFonts w:asciiTheme="minorHAnsi" w:hAnsiTheme="minorHAnsi" w:cstheme="minorHAnsi"/>
        </w:rPr>
        <w:t>There were 542,492 prescriptions dispensed for PBS subsidised smoking cessation therapies at a cost to the government of AUD 36 million (PBS benefits paid).</w:t>
      </w:r>
    </w:p>
    <w:p w14:paraId="22F296BB" w14:textId="77777777" w:rsidR="00B56576" w:rsidRPr="00B56576" w:rsidRDefault="00B56576" w:rsidP="00B56576">
      <w:pPr>
        <w:pStyle w:val="NoSpacing"/>
        <w:numPr>
          <w:ilvl w:val="0"/>
          <w:numId w:val="6"/>
        </w:numPr>
        <w:rPr>
          <w:rFonts w:asciiTheme="minorHAnsi" w:hAnsiTheme="minorHAnsi" w:cstheme="minorHAnsi"/>
        </w:rPr>
      </w:pPr>
      <w:r w:rsidRPr="00B56576">
        <w:rPr>
          <w:rFonts w:asciiTheme="minorHAnsi" w:hAnsiTheme="minorHAnsi" w:cstheme="minorHAnsi"/>
        </w:rPr>
        <w:t xml:space="preserve">Varenicline was the most utilised smoking cessation therapy with 303,681 PBS prescriptions dispensed (56% of total market) followed by Nicotine Replacement Therapy (NRT) with 233,544 PBS prescriptions (43% of total market) and bupropion with 5,267 PBS prescriptions. </w:t>
      </w:r>
    </w:p>
    <w:p w14:paraId="4F8D5BC0" w14:textId="33E4622E" w:rsidR="00B56576" w:rsidRPr="00B56576" w:rsidRDefault="00B56576" w:rsidP="00B56576">
      <w:pPr>
        <w:pStyle w:val="NoSpacing"/>
        <w:numPr>
          <w:ilvl w:val="0"/>
          <w:numId w:val="6"/>
        </w:numPr>
        <w:rPr>
          <w:rFonts w:asciiTheme="minorHAnsi" w:hAnsiTheme="minorHAnsi" w:cstheme="minorHAnsi"/>
        </w:rPr>
      </w:pPr>
      <w:r w:rsidRPr="00B56576">
        <w:rPr>
          <w:rFonts w:asciiTheme="minorHAnsi" w:hAnsiTheme="minorHAnsi" w:cstheme="minorHAnsi"/>
        </w:rPr>
        <w:t>PBS use of NRT represented 7% of all NRT use in Australia during 2019, suggesting that the majority of NRT</w:t>
      </w:r>
      <w:r w:rsidR="0043625B">
        <w:rPr>
          <w:rFonts w:asciiTheme="minorHAnsi" w:hAnsiTheme="minorHAnsi" w:cstheme="minorHAnsi"/>
        </w:rPr>
        <w:t xml:space="preserve"> products are obtained over-the-</w:t>
      </w:r>
      <w:r w:rsidRPr="00B56576">
        <w:rPr>
          <w:rFonts w:asciiTheme="minorHAnsi" w:hAnsiTheme="minorHAnsi" w:cstheme="minorHAnsi"/>
        </w:rPr>
        <w:t>counter</w:t>
      </w:r>
      <w:r w:rsidR="0043625B">
        <w:rPr>
          <w:rFonts w:asciiTheme="minorHAnsi" w:hAnsiTheme="minorHAnsi" w:cstheme="minorHAnsi"/>
        </w:rPr>
        <w:t xml:space="preserve"> (OTC)</w:t>
      </w:r>
      <w:r w:rsidRPr="00B56576">
        <w:rPr>
          <w:rFonts w:asciiTheme="minorHAnsi" w:hAnsiTheme="minorHAnsi" w:cstheme="minorHAnsi"/>
        </w:rPr>
        <w:t xml:space="preserve">. </w:t>
      </w:r>
      <w:r w:rsidRPr="00B56576">
        <w:rPr>
          <w:rFonts w:asciiTheme="minorHAnsi" w:hAnsiTheme="minorHAnsi" w:cstheme="minorHAnsi"/>
          <w:color w:val="000000"/>
        </w:rPr>
        <w:t xml:space="preserve">NRT patches accounted for 94% of all NRT products subsidised under the PBS, </w:t>
      </w:r>
      <w:r w:rsidRPr="00B56576">
        <w:rPr>
          <w:rFonts w:asciiTheme="minorHAnsi" w:hAnsiTheme="minorHAnsi" w:cstheme="minorHAnsi"/>
        </w:rPr>
        <w:t>while the majority of NR</w:t>
      </w:r>
      <w:r w:rsidR="0043625B">
        <w:rPr>
          <w:rFonts w:asciiTheme="minorHAnsi" w:hAnsiTheme="minorHAnsi" w:cstheme="minorHAnsi"/>
        </w:rPr>
        <w:t>T products sold OTC</w:t>
      </w:r>
      <w:r w:rsidRPr="00B56576">
        <w:rPr>
          <w:rFonts w:asciiTheme="minorHAnsi" w:hAnsiTheme="minorHAnsi" w:cstheme="minorHAnsi"/>
        </w:rPr>
        <w:t xml:space="preserve"> were nicotine gums.  </w:t>
      </w:r>
    </w:p>
    <w:p w14:paraId="7D05AA17" w14:textId="77777777" w:rsidR="00B56576" w:rsidRPr="000A3424" w:rsidRDefault="00B56576" w:rsidP="00B56576">
      <w:pPr>
        <w:pStyle w:val="Heading3"/>
        <w:keepLines/>
        <w:numPr>
          <w:ilvl w:val="2"/>
          <w:numId w:val="23"/>
        </w:numPr>
        <w:spacing w:after="20"/>
        <w:rPr>
          <w:rFonts w:asciiTheme="minorHAnsi" w:eastAsiaTheme="majorEastAsia" w:hAnsiTheme="minorHAnsi" w:cstheme="minorHAnsi"/>
          <w:b/>
          <w:i/>
          <w:szCs w:val="24"/>
          <w:lang w:eastAsia="en-AU"/>
        </w:rPr>
      </w:pPr>
      <w:bookmarkStart w:id="19" w:name="_Toc69976530"/>
      <w:bookmarkStart w:id="20" w:name="_Toc72840883"/>
      <w:r w:rsidRPr="000A3424">
        <w:rPr>
          <w:rFonts w:asciiTheme="minorHAnsi" w:eastAsiaTheme="majorEastAsia" w:hAnsiTheme="minorHAnsi" w:cstheme="minorHAnsi"/>
          <w:b/>
          <w:i/>
          <w:szCs w:val="24"/>
          <w:lang w:eastAsia="en-AU"/>
        </w:rPr>
        <w:t>Determine the prevalent and incident population treated with PBS listed medicines for smoking cessation.</w:t>
      </w:r>
      <w:bookmarkEnd w:id="19"/>
      <w:bookmarkEnd w:id="20"/>
    </w:p>
    <w:p w14:paraId="5D5B3049" w14:textId="77777777" w:rsidR="00B56576" w:rsidRPr="00B56576" w:rsidRDefault="00B56576" w:rsidP="00B56576">
      <w:pPr>
        <w:pStyle w:val="NoSpacing"/>
        <w:numPr>
          <w:ilvl w:val="0"/>
          <w:numId w:val="6"/>
        </w:numPr>
        <w:spacing w:before="240"/>
        <w:rPr>
          <w:rFonts w:asciiTheme="minorHAnsi" w:hAnsiTheme="minorHAnsi" w:cstheme="minorHAnsi"/>
        </w:rPr>
      </w:pPr>
      <w:r w:rsidRPr="00B56576">
        <w:rPr>
          <w:rFonts w:asciiTheme="minorHAnsi" w:hAnsiTheme="minorHAnsi" w:cstheme="minorHAnsi"/>
        </w:rPr>
        <w:t>1.2% of the Australian population (N=265,544) were supplied PBS smoking cessation therapy in 2019/2020.</w:t>
      </w:r>
    </w:p>
    <w:p w14:paraId="0E584B25" w14:textId="77777777" w:rsidR="00B56576" w:rsidRPr="00B56576" w:rsidRDefault="00B56576" w:rsidP="00B56576">
      <w:pPr>
        <w:pStyle w:val="NoSpacing"/>
        <w:numPr>
          <w:ilvl w:val="0"/>
          <w:numId w:val="6"/>
        </w:numPr>
        <w:rPr>
          <w:rFonts w:asciiTheme="minorHAnsi" w:hAnsiTheme="minorHAnsi" w:cstheme="minorHAnsi"/>
        </w:rPr>
      </w:pPr>
      <w:r w:rsidRPr="00B56576">
        <w:rPr>
          <w:rFonts w:asciiTheme="minorHAnsi" w:hAnsiTheme="minorHAnsi" w:cstheme="minorHAnsi"/>
        </w:rPr>
        <w:t>0.3% of the Australian population (N=65,543) made their first ever attempt at quitting with PBS subsidised smoking cessation therapy in 2019/2020.</w:t>
      </w:r>
    </w:p>
    <w:p w14:paraId="6C47901F" w14:textId="77777777" w:rsidR="00B56576" w:rsidRPr="00B56576" w:rsidRDefault="00B56576" w:rsidP="00B56576">
      <w:pPr>
        <w:pStyle w:val="Heading3"/>
        <w:keepLines/>
        <w:numPr>
          <w:ilvl w:val="2"/>
          <w:numId w:val="23"/>
        </w:numPr>
        <w:spacing w:after="20"/>
        <w:rPr>
          <w:rFonts w:asciiTheme="minorHAnsi" w:eastAsiaTheme="majorEastAsia" w:hAnsiTheme="minorHAnsi" w:cstheme="minorHAnsi"/>
          <w:b/>
          <w:i/>
          <w:szCs w:val="24"/>
          <w:lang w:eastAsia="en-AU"/>
        </w:rPr>
      </w:pPr>
      <w:bookmarkStart w:id="21" w:name="_Toc69976531"/>
      <w:bookmarkStart w:id="22" w:name="_Toc72840884"/>
      <w:r w:rsidRPr="00B56576">
        <w:rPr>
          <w:rFonts w:asciiTheme="minorHAnsi" w:eastAsiaTheme="majorEastAsia" w:hAnsiTheme="minorHAnsi" w:cstheme="minorHAnsi"/>
          <w:b/>
          <w:i/>
          <w:szCs w:val="24"/>
          <w:lang w:eastAsia="en-AU"/>
        </w:rPr>
        <w:t>Provide the most recent statistics on the prevalence of smoking in Australia</w:t>
      </w:r>
      <w:bookmarkEnd w:id="21"/>
      <w:bookmarkEnd w:id="22"/>
    </w:p>
    <w:p w14:paraId="1070F29F" w14:textId="77777777" w:rsidR="00B56576" w:rsidRPr="00B56576" w:rsidRDefault="00B56576" w:rsidP="00B56576">
      <w:pPr>
        <w:pStyle w:val="CommentText"/>
        <w:spacing w:before="240" w:after="0"/>
        <w:rPr>
          <w:rFonts w:cstheme="minorHAnsi"/>
          <w:sz w:val="24"/>
          <w:szCs w:val="24"/>
        </w:rPr>
      </w:pPr>
      <w:r w:rsidRPr="00B56576">
        <w:rPr>
          <w:rFonts w:cstheme="minorHAnsi"/>
          <w:sz w:val="24"/>
          <w:szCs w:val="24"/>
        </w:rPr>
        <w:t xml:space="preserve">The smoking rates differed widely between different sub-populations: </w:t>
      </w:r>
    </w:p>
    <w:p w14:paraId="58186CE4" w14:textId="77777777" w:rsidR="00B56576" w:rsidRPr="00B56576" w:rsidRDefault="00B56576" w:rsidP="00B56576">
      <w:pPr>
        <w:pStyle w:val="NoSpacing"/>
        <w:numPr>
          <w:ilvl w:val="0"/>
          <w:numId w:val="6"/>
        </w:numPr>
        <w:rPr>
          <w:rFonts w:asciiTheme="minorHAnsi" w:hAnsiTheme="minorHAnsi" w:cstheme="minorHAnsi"/>
        </w:rPr>
      </w:pPr>
      <w:r w:rsidRPr="00B56576">
        <w:rPr>
          <w:rFonts w:asciiTheme="minorHAnsi" w:hAnsiTheme="minorHAnsi" w:cstheme="minorHAnsi"/>
        </w:rPr>
        <w:t>In 2019, there were an estimated 2.9 million current smokers aged 18+ in Australia representing 14.7% from the overall population aged 18+ in Australia;</w:t>
      </w:r>
    </w:p>
    <w:p w14:paraId="3C164A55" w14:textId="77777777" w:rsidR="00B56576" w:rsidRPr="00B56576" w:rsidRDefault="00B56576" w:rsidP="00B56576">
      <w:pPr>
        <w:pStyle w:val="NoSpacing"/>
        <w:numPr>
          <w:ilvl w:val="0"/>
          <w:numId w:val="6"/>
        </w:numPr>
        <w:rPr>
          <w:rFonts w:asciiTheme="minorHAnsi" w:hAnsiTheme="minorHAnsi" w:cstheme="minorHAnsi"/>
        </w:rPr>
      </w:pPr>
      <w:r w:rsidRPr="00B56576">
        <w:rPr>
          <w:rFonts w:asciiTheme="minorHAnsi" w:hAnsiTheme="minorHAnsi" w:cstheme="minorHAnsi"/>
        </w:rPr>
        <w:t>In 2019, the rate of Aboriginal and Torres Strait Islander people aged 15+ who are current smokers was 41.4%, which was 2.8 times higher in comparison to the overall population aged 18+ in Australia;</w:t>
      </w:r>
    </w:p>
    <w:p w14:paraId="3E2E811C" w14:textId="45BA86B0" w:rsidR="00B56576" w:rsidRPr="00B56576" w:rsidRDefault="00E424AB" w:rsidP="00B56576">
      <w:pPr>
        <w:pStyle w:val="NoSpacing"/>
        <w:numPr>
          <w:ilvl w:val="0"/>
          <w:numId w:val="6"/>
        </w:numPr>
        <w:rPr>
          <w:rFonts w:asciiTheme="minorHAnsi" w:hAnsiTheme="minorHAnsi" w:cstheme="minorHAnsi"/>
        </w:rPr>
      </w:pPr>
      <w:r>
        <w:rPr>
          <w:rFonts w:asciiTheme="minorHAnsi" w:hAnsiTheme="minorHAnsi" w:cstheme="minorHAnsi"/>
          <w:color w:val="000000"/>
        </w:rPr>
        <w:t>In 2018, at least 75% of non-I</w:t>
      </w:r>
      <w:r w:rsidR="00B56576" w:rsidRPr="00B56576">
        <w:rPr>
          <w:rFonts w:asciiTheme="minorHAnsi" w:hAnsiTheme="minorHAnsi" w:cstheme="minorHAnsi"/>
          <w:color w:val="000000"/>
        </w:rPr>
        <w:t xml:space="preserve">ndigenous prison entrants aged 18-44 years were current smokers, and at least 79% of </w:t>
      </w:r>
      <w:r w:rsidR="00B56576" w:rsidRPr="00B56576">
        <w:rPr>
          <w:rFonts w:asciiTheme="minorHAnsi" w:hAnsiTheme="minorHAnsi" w:cstheme="minorHAnsi"/>
        </w:rPr>
        <w:t>Aboriginal and Torres Strait Islander</w:t>
      </w:r>
      <w:r w:rsidR="00B56576" w:rsidRPr="00B56576">
        <w:rPr>
          <w:rFonts w:asciiTheme="minorHAnsi" w:hAnsiTheme="minorHAnsi" w:cstheme="minorHAnsi"/>
          <w:color w:val="000000"/>
        </w:rPr>
        <w:t xml:space="preserve"> prison entrants aged 18-44 were current smokers;</w:t>
      </w:r>
    </w:p>
    <w:p w14:paraId="191BEE09" w14:textId="1424377F" w:rsidR="00B56576" w:rsidRPr="00B56576" w:rsidRDefault="00B56576" w:rsidP="00B56576">
      <w:pPr>
        <w:pStyle w:val="NoSpacing"/>
        <w:numPr>
          <w:ilvl w:val="0"/>
          <w:numId w:val="6"/>
        </w:numPr>
        <w:rPr>
          <w:rFonts w:asciiTheme="minorHAnsi" w:hAnsiTheme="minorHAnsi" w:cstheme="minorHAnsi"/>
        </w:rPr>
      </w:pPr>
      <w:r w:rsidRPr="00B56576">
        <w:rPr>
          <w:rFonts w:asciiTheme="minorHAnsi" w:hAnsiTheme="minorHAnsi" w:cstheme="minorHAnsi"/>
        </w:rPr>
        <w:t>In 2018, 9</w:t>
      </w:r>
      <w:r w:rsidR="002D39E2">
        <w:rPr>
          <w:rFonts w:asciiTheme="minorHAnsi" w:hAnsiTheme="minorHAnsi" w:cstheme="minorHAnsi"/>
        </w:rPr>
        <w:t>.2</w:t>
      </w:r>
      <w:r w:rsidRPr="00B56576">
        <w:rPr>
          <w:rFonts w:asciiTheme="minorHAnsi" w:hAnsiTheme="minorHAnsi" w:cstheme="minorHAnsi"/>
        </w:rPr>
        <w:t>% of women smoked in the first 20 weeks of pregnancy;</w:t>
      </w:r>
    </w:p>
    <w:p w14:paraId="5F878118" w14:textId="6061747D" w:rsidR="00B56576" w:rsidRPr="00B56576" w:rsidRDefault="00B56576" w:rsidP="00B56576">
      <w:pPr>
        <w:pStyle w:val="NoSpacing"/>
        <w:numPr>
          <w:ilvl w:val="0"/>
          <w:numId w:val="6"/>
        </w:numPr>
        <w:rPr>
          <w:rFonts w:asciiTheme="minorHAnsi" w:hAnsiTheme="minorHAnsi" w:cstheme="minorHAnsi"/>
        </w:rPr>
      </w:pPr>
      <w:r w:rsidRPr="00B56576">
        <w:rPr>
          <w:rFonts w:asciiTheme="minorHAnsi" w:hAnsiTheme="minorHAnsi" w:cstheme="minorHAnsi"/>
          <w:color w:val="000000"/>
        </w:rPr>
        <w:t>People with self-reported mental illness (depression, anxiety disorder, schizophrenia, bipolar disorder, an eating disorder or other mental illness) were almost twice as likely to be current smokers compared to people without mental illness (24</w:t>
      </w:r>
      <w:r w:rsidR="002D39E2">
        <w:rPr>
          <w:rFonts w:asciiTheme="minorHAnsi" w:hAnsiTheme="minorHAnsi" w:cstheme="minorHAnsi"/>
          <w:color w:val="000000"/>
        </w:rPr>
        <w:t>.2% vs 12.9</w:t>
      </w:r>
      <w:r w:rsidRPr="00B56576">
        <w:rPr>
          <w:rFonts w:asciiTheme="minorHAnsi" w:hAnsiTheme="minorHAnsi" w:cstheme="minorHAnsi"/>
          <w:color w:val="000000"/>
        </w:rPr>
        <w:t>% in 2019)</w:t>
      </w:r>
    </w:p>
    <w:p w14:paraId="6C706DE7" w14:textId="77777777" w:rsidR="00B56576" w:rsidRPr="00B56576" w:rsidRDefault="00B56576" w:rsidP="00B56576">
      <w:pPr>
        <w:rPr>
          <w:rFonts w:eastAsiaTheme="majorEastAsia" w:cstheme="minorHAnsi"/>
          <w:b/>
          <w:bCs/>
          <w:i/>
        </w:rPr>
      </w:pPr>
    </w:p>
    <w:p w14:paraId="30351E3F" w14:textId="77777777" w:rsidR="00B56576" w:rsidRPr="00B56576" w:rsidRDefault="00B56576" w:rsidP="00B56576">
      <w:pPr>
        <w:pStyle w:val="Heading3"/>
        <w:keepLines/>
        <w:numPr>
          <w:ilvl w:val="2"/>
          <w:numId w:val="23"/>
        </w:numPr>
        <w:spacing w:after="20"/>
        <w:rPr>
          <w:rFonts w:asciiTheme="minorHAnsi" w:eastAsiaTheme="majorEastAsia" w:hAnsiTheme="minorHAnsi" w:cstheme="minorHAnsi"/>
          <w:b/>
          <w:i/>
          <w:szCs w:val="24"/>
          <w:lang w:eastAsia="en-AU"/>
        </w:rPr>
      </w:pPr>
      <w:bookmarkStart w:id="23" w:name="_Toc69976532"/>
      <w:bookmarkStart w:id="24" w:name="_Toc72840885"/>
      <w:r w:rsidRPr="00B56576">
        <w:rPr>
          <w:rFonts w:asciiTheme="minorHAnsi" w:eastAsiaTheme="majorEastAsia" w:hAnsiTheme="minorHAnsi" w:cstheme="minorHAnsi"/>
          <w:b/>
          <w:i/>
          <w:szCs w:val="24"/>
          <w:lang w:eastAsia="en-AU"/>
        </w:rPr>
        <w:lastRenderedPageBreak/>
        <w:t>Prevalence of smoking cessation therapies under the PBS in specific populations</w:t>
      </w:r>
      <w:bookmarkEnd w:id="23"/>
      <w:bookmarkEnd w:id="24"/>
    </w:p>
    <w:p w14:paraId="00D61CF3" w14:textId="77777777" w:rsidR="00B56576" w:rsidRPr="00B56576" w:rsidRDefault="00B56576" w:rsidP="00B56576">
      <w:pPr>
        <w:pStyle w:val="NoSpacing"/>
        <w:spacing w:before="240"/>
        <w:rPr>
          <w:rFonts w:asciiTheme="minorHAnsi" w:hAnsiTheme="minorHAnsi" w:cstheme="minorHAnsi"/>
        </w:rPr>
      </w:pPr>
      <w:r w:rsidRPr="00B56576">
        <w:rPr>
          <w:rFonts w:asciiTheme="minorHAnsi" w:hAnsiTheme="minorHAnsi" w:cstheme="minorHAnsi"/>
        </w:rPr>
        <w:t>Of the 265,544 people who received PBS subsidised smoking cessation therapy in 2019:</w:t>
      </w:r>
    </w:p>
    <w:p w14:paraId="31214363" w14:textId="77777777" w:rsidR="00B56576" w:rsidRPr="00B56576" w:rsidRDefault="00B56576" w:rsidP="00B56576">
      <w:pPr>
        <w:pStyle w:val="ListParagraph"/>
        <w:numPr>
          <w:ilvl w:val="0"/>
          <w:numId w:val="16"/>
        </w:numPr>
        <w:rPr>
          <w:rFonts w:asciiTheme="minorHAnsi" w:hAnsiTheme="minorHAnsi" w:cstheme="minorHAnsi"/>
        </w:rPr>
      </w:pPr>
      <w:r w:rsidRPr="00B56576">
        <w:rPr>
          <w:rFonts w:asciiTheme="minorHAnsi" w:hAnsiTheme="minorHAnsi" w:cstheme="minorHAnsi"/>
        </w:rPr>
        <w:t xml:space="preserve">40% also had mental illness, as measured by antipsychotic and antidepressant use </w:t>
      </w:r>
    </w:p>
    <w:p w14:paraId="6422EDC7" w14:textId="77777777" w:rsidR="00B56576" w:rsidRPr="00B56576" w:rsidRDefault="00B56576" w:rsidP="00B56576">
      <w:pPr>
        <w:pStyle w:val="ListParagraph"/>
        <w:numPr>
          <w:ilvl w:val="0"/>
          <w:numId w:val="16"/>
        </w:numPr>
        <w:rPr>
          <w:rFonts w:asciiTheme="minorHAnsi" w:hAnsiTheme="minorHAnsi" w:cstheme="minorHAnsi"/>
        </w:rPr>
      </w:pPr>
      <w:r w:rsidRPr="00B56576">
        <w:rPr>
          <w:rFonts w:asciiTheme="minorHAnsi" w:hAnsiTheme="minorHAnsi" w:cstheme="minorHAnsi"/>
        </w:rPr>
        <w:t xml:space="preserve">18% were women of child-bearing age (aged 15 to 44 years) </w:t>
      </w:r>
    </w:p>
    <w:p w14:paraId="2B08D535" w14:textId="77777777" w:rsidR="00B56576" w:rsidRPr="00B56576" w:rsidRDefault="00B56576" w:rsidP="00B56576">
      <w:pPr>
        <w:pStyle w:val="ListParagraph"/>
        <w:numPr>
          <w:ilvl w:val="0"/>
          <w:numId w:val="16"/>
        </w:numPr>
        <w:rPr>
          <w:rFonts w:asciiTheme="minorHAnsi" w:hAnsiTheme="minorHAnsi" w:cstheme="minorHAnsi"/>
        </w:rPr>
      </w:pPr>
      <w:r w:rsidRPr="00B56576">
        <w:rPr>
          <w:rFonts w:asciiTheme="minorHAnsi" w:hAnsiTheme="minorHAnsi" w:cstheme="minorHAnsi"/>
        </w:rPr>
        <w:t>16% also had a smoking related illness, as measured by use of medicines for airways disease</w:t>
      </w:r>
    </w:p>
    <w:p w14:paraId="0CE80F40" w14:textId="52B4D795" w:rsidR="00B56576" w:rsidRPr="00B56576" w:rsidRDefault="00B56576" w:rsidP="00B56576">
      <w:pPr>
        <w:pStyle w:val="ListParagraph"/>
        <w:numPr>
          <w:ilvl w:val="0"/>
          <w:numId w:val="16"/>
        </w:numPr>
        <w:rPr>
          <w:rFonts w:asciiTheme="minorHAnsi" w:hAnsiTheme="minorHAnsi" w:cstheme="minorHAnsi"/>
        </w:rPr>
      </w:pPr>
      <w:r w:rsidRPr="00B56576">
        <w:rPr>
          <w:rFonts w:asciiTheme="minorHAnsi" w:hAnsiTheme="minorHAnsi" w:cstheme="minorHAnsi"/>
        </w:rPr>
        <w:t xml:space="preserve">10% were Aboriginal and Torres Strait Islander population, identified by the following criteria – a supply </w:t>
      </w:r>
      <w:r w:rsidR="0012280F">
        <w:rPr>
          <w:rFonts w:asciiTheme="minorHAnsi" w:hAnsiTheme="minorHAnsi" w:cstheme="minorHAnsi"/>
        </w:rPr>
        <w:t xml:space="preserve">of prescriptions under the </w:t>
      </w:r>
      <w:r w:rsidR="00316C23">
        <w:rPr>
          <w:rFonts w:asciiTheme="minorHAnsi" w:hAnsiTheme="minorHAnsi" w:cstheme="minorHAnsi"/>
        </w:rPr>
        <w:t>C</w:t>
      </w:r>
      <w:r w:rsidRPr="00B56576">
        <w:rPr>
          <w:rFonts w:asciiTheme="minorHAnsi" w:hAnsiTheme="minorHAnsi" w:cstheme="minorHAnsi"/>
        </w:rPr>
        <w:t>losing the Gap</w:t>
      </w:r>
      <w:r w:rsidR="0012280F">
        <w:rPr>
          <w:rFonts w:asciiTheme="minorHAnsi" w:hAnsiTheme="minorHAnsi" w:cstheme="minorHAnsi"/>
        </w:rPr>
        <w:t xml:space="preserve"> Co-P</w:t>
      </w:r>
      <w:r w:rsidR="00316C23">
        <w:rPr>
          <w:rFonts w:asciiTheme="minorHAnsi" w:hAnsiTheme="minorHAnsi" w:cstheme="minorHAnsi"/>
        </w:rPr>
        <w:t>ayment Measure</w:t>
      </w:r>
      <w:r w:rsidRPr="00B56576">
        <w:rPr>
          <w:rFonts w:asciiTheme="minorHAnsi" w:hAnsiTheme="minorHAnsi" w:cstheme="minorHAnsi"/>
        </w:rPr>
        <w:t xml:space="preserve"> program, or utilisation of Indigenous-specific MBS items, or Voluntary Indigenous Identifier</w:t>
      </w:r>
    </w:p>
    <w:p w14:paraId="3D9DB82E" w14:textId="77777777" w:rsidR="00B56576" w:rsidRPr="00B56576" w:rsidRDefault="00B56576" w:rsidP="00B56576">
      <w:pPr>
        <w:pStyle w:val="ListParagraph"/>
        <w:numPr>
          <w:ilvl w:val="0"/>
          <w:numId w:val="16"/>
        </w:numPr>
        <w:rPr>
          <w:rFonts w:asciiTheme="minorHAnsi" w:hAnsiTheme="minorHAnsi" w:cstheme="minorHAnsi"/>
        </w:rPr>
      </w:pPr>
      <w:r w:rsidRPr="00B56576">
        <w:rPr>
          <w:rFonts w:asciiTheme="minorHAnsi" w:hAnsiTheme="minorHAnsi" w:cstheme="minorHAnsi"/>
        </w:rPr>
        <w:t>1% were at risk of alcohol abuse, as measured by use of medicines for alcohol dependence.</w:t>
      </w:r>
    </w:p>
    <w:p w14:paraId="66AFA3CF" w14:textId="77777777" w:rsidR="00B56576" w:rsidRPr="00B56576" w:rsidRDefault="00B56576" w:rsidP="00B56576">
      <w:pPr>
        <w:pStyle w:val="Heading3"/>
        <w:keepLines/>
        <w:numPr>
          <w:ilvl w:val="2"/>
          <w:numId w:val="23"/>
        </w:numPr>
        <w:spacing w:after="20"/>
        <w:rPr>
          <w:rFonts w:asciiTheme="minorHAnsi" w:eastAsiaTheme="majorEastAsia" w:hAnsiTheme="minorHAnsi" w:cstheme="minorHAnsi"/>
          <w:b/>
          <w:i/>
          <w:szCs w:val="24"/>
          <w:lang w:eastAsia="en-AU"/>
        </w:rPr>
      </w:pPr>
      <w:bookmarkStart w:id="25" w:name="_Toc69976533"/>
      <w:bookmarkStart w:id="26" w:name="_Toc72840886"/>
      <w:r w:rsidRPr="00B56576">
        <w:rPr>
          <w:rFonts w:asciiTheme="minorHAnsi" w:eastAsiaTheme="majorEastAsia" w:hAnsiTheme="minorHAnsi" w:cstheme="minorHAnsi"/>
          <w:b/>
          <w:i/>
          <w:szCs w:val="24"/>
          <w:lang w:eastAsia="en-AU"/>
        </w:rPr>
        <w:t>Estimates of specific populations of interest with access to smoking cessation therapies under the PBS</w:t>
      </w:r>
      <w:bookmarkEnd w:id="25"/>
      <w:bookmarkEnd w:id="26"/>
      <w:r w:rsidRPr="00B56576">
        <w:rPr>
          <w:rFonts w:asciiTheme="minorHAnsi" w:eastAsiaTheme="majorEastAsia" w:hAnsiTheme="minorHAnsi" w:cstheme="minorHAnsi"/>
          <w:b/>
          <w:i/>
          <w:szCs w:val="24"/>
          <w:lang w:eastAsia="en-AU"/>
        </w:rPr>
        <w:t xml:space="preserve"> </w:t>
      </w:r>
    </w:p>
    <w:p w14:paraId="7B2C3A00" w14:textId="77777777" w:rsidR="00B56576" w:rsidRPr="00B56576" w:rsidRDefault="00B56576" w:rsidP="00B56576">
      <w:pPr>
        <w:pStyle w:val="NoSpacing"/>
        <w:spacing w:before="240"/>
        <w:rPr>
          <w:rFonts w:asciiTheme="minorHAnsi" w:hAnsiTheme="minorHAnsi" w:cstheme="minorHAnsi"/>
        </w:rPr>
      </w:pPr>
      <w:r w:rsidRPr="00B56576">
        <w:rPr>
          <w:rFonts w:asciiTheme="minorHAnsi" w:hAnsiTheme="minorHAnsi" w:cstheme="minorHAnsi"/>
        </w:rPr>
        <w:t>In calendar year 2019, based on PBS utilisation and published literature, it is estimated that:</w:t>
      </w:r>
    </w:p>
    <w:p w14:paraId="6ABA113A" w14:textId="77777777" w:rsidR="00B56576" w:rsidRPr="00B56576" w:rsidRDefault="00B56576" w:rsidP="00B56576">
      <w:pPr>
        <w:pStyle w:val="ListParagraph"/>
        <w:numPr>
          <w:ilvl w:val="0"/>
          <w:numId w:val="6"/>
        </w:numPr>
        <w:rPr>
          <w:rFonts w:asciiTheme="minorHAnsi" w:hAnsiTheme="minorHAnsi" w:cstheme="minorHAnsi"/>
        </w:rPr>
      </w:pPr>
      <w:r w:rsidRPr="00B56576">
        <w:rPr>
          <w:rFonts w:asciiTheme="minorHAnsi" w:hAnsiTheme="minorHAnsi" w:cstheme="minorHAnsi"/>
        </w:rPr>
        <w:t>10% of all current smokers aged 18 years and over in Australia received smoking cessation therapies under the PBS;</w:t>
      </w:r>
    </w:p>
    <w:p w14:paraId="7F33C864" w14:textId="77777777" w:rsidR="00B56576" w:rsidRPr="00B56576" w:rsidRDefault="00B56576" w:rsidP="00B56576">
      <w:pPr>
        <w:pStyle w:val="ListParagraph"/>
        <w:numPr>
          <w:ilvl w:val="0"/>
          <w:numId w:val="6"/>
        </w:numPr>
        <w:rPr>
          <w:rFonts w:asciiTheme="minorHAnsi" w:hAnsiTheme="minorHAnsi" w:cstheme="minorHAnsi"/>
        </w:rPr>
      </w:pPr>
      <w:r w:rsidRPr="00B56576">
        <w:rPr>
          <w:rFonts w:asciiTheme="minorHAnsi" w:hAnsiTheme="minorHAnsi" w:cstheme="minorHAnsi"/>
        </w:rPr>
        <w:t>1% of all Australian women of child-bearing age (aged 15 to 44 year) received smoking cessation therapies under the PBS;</w:t>
      </w:r>
    </w:p>
    <w:p w14:paraId="009B9ADE" w14:textId="77777777" w:rsidR="00B56576" w:rsidRPr="00B56576" w:rsidRDefault="00B56576" w:rsidP="00B56576">
      <w:pPr>
        <w:pStyle w:val="ListParagraph"/>
        <w:numPr>
          <w:ilvl w:val="0"/>
          <w:numId w:val="6"/>
        </w:numPr>
        <w:rPr>
          <w:rFonts w:asciiTheme="minorHAnsi" w:hAnsiTheme="minorHAnsi" w:cstheme="minorHAnsi"/>
        </w:rPr>
      </w:pPr>
      <w:r w:rsidRPr="00B56576">
        <w:rPr>
          <w:rFonts w:asciiTheme="minorHAnsi" w:hAnsiTheme="minorHAnsi" w:cstheme="minorHAnsi"/>
        </w:rPr>
        <w:t>6% of the Aboriginal and Torres Strait Islander population aged 18+ in Australia received smoking cessation therapies under the PBS.</w:t>
      </w:r>
    </w:p>
    <w:p w14:paraId="6C90F7E9" w14:textId="77777777" w:rsidR="00B56576" w:rsidRPr="00B56576" w:rsidRDefault="00B56576" w:rsidP="00B56576">
      <w:pPr>
        <w:pStyle w:val="Heading3"/>
        <w:keepLines/>
        <w:numPr>
          <w:ilvl w:val="2"/>
          <w:numId w:val="23"/>
        </w:numPr>
        <w:spacing w:after="20"/>
        <w:rPr>
          <w:rFonts w:asciiTheme="minorHAnsi" w:eastAsiaTheme="majorEastAsia" w:hAnsiTheme="minorHAnsi" w:cstheme="minorHAnsi"/>
          <w:b/>
          <w:i/>
          <w:szCs w:val="24"/>
          <w:lang w:eastAsia="en-AU"/>
        </w:rPr>
      </w:pPr>
      <w:bookmarkStart w:id="27" w:name="_Toc69976534"/>
      <w:bookmarkStart w:id="28" w:name="_Toc72840887"/>
      <w:r w:rsidRPr="00B56576">
        <w:rPr>
          <w:rFonts w:asciiTheme="minorHAnsi" w:eastAsiaTheme="majorEastAsia" w:hAnsiTheme="minorHAnsi" w:cstheme="minorHAnsi"/>
          <w:b/>
          <w:i/>
          <w:szCs w:val="24"/>
          <w:lang w:eastAsia="en-AU"/>
        </w:rPr>
        <w:t>Number of therapies and length of treatment with smoking cessation medicines</w:t>
      </w:r>
      <w:bookmarkEnd w:id="27"/>
      <w:bookmarkEnd w:id="28"/>
    </w:p>
    <w:p w14:paraId="10838781" w14:textId="77777777" w:rsidR="00B56576" w:rsidRPr="00B56576" w:rsidRDefault="00B56576" w:rsidP="00B56576">
      <w:pPr>
        <w:spacing w:before="240" w:after="0"/>
        <w:rPr>
          <w:rFonts w:cstheme="minorHAnsi"/>
        </w:rPr>
      </w:pPr>
      <w:r w:rsidRPr="00B56576">
        <w:rPr>
          <w:rFonts w:cstheme="minorHAnsi"/>
        </w:rPr>
        <w:t xml:space="preserve">Based on an analysis of PBS data, there were 740,082 people who initiated a PBS subsidised smoking cessation therapy for the first time between 1/07/2010 and 30/06/2015. The following results are based on this initiating cohort who were followed for 5 years:  </w:t>
      </w:r>
    </w:p>
    <w:p w14:paraId="20F2276C" w14:textId="77777777" w:rsidR="00B56576" w:rsidRPr="00B56576" w:rsidRDefault="00B56576" w:rsidP="00B56576">
      <w:pPr>
        <w:pStyle w:val="ListParagraph"/>
        <w:numPr>
          <w:ilvl w:val="0"/>
          <w:numId w:val="6"/>
        </w:numPr>
        <w:rPr>
          <w:rFonts w:asciiTheme="minorHAnsi" w:hAnsiTheme="minorHAnsi" w:cstheme="minorHAnsi"/>
        </w:rPr>
      </w:pPr>
      <w:r w:rsidRPr="00B56576">
        <w:rPr>
          <w:rFonts w:asciiTheme="minorHAnsi" w:hAnsiTheme="minorHAnsi" w:cstheme="minorHAnsi"/>
        </w:rPr>
        <w:t xml:space="preserve">The median duration of the first treatment episode  was 28 days for bupropion and 42 days for NRT and varenicline; </w:t>
      </w:r>
    </w:p>
    <w:p w14:paraId="04DF1F9F" w14:textId="77777777" w:rsidR="00B56576" w:rsidRPr="00B56576" w:rsidRDefault="00B56576" w:rsidP="00B56576">
      <w:pPr>
        <w:pStyle w:val="ListParagraph"/>
        <w:numPr>
          <w:ilvl w:val="0"/>
          <w:numId w:val="6"/>
        </w:numPr>
        <w:spacing w:before="240"/>
        <w:rPr>
          <w:rFonts w:asciiTheme="minorHAnsi" w:hAnsiTheme="minorHAnsi" w:cstheme="minorHAnsi"/>
        </w:rPr>
      </w:pPr>
      <w:r w:rsidRPr="00B56576">
        <w:rPr>
          <w:rFonts w:asciiTheme="minorHAnsi" w:hAnsiTheme="minorHAnsi" w:cstheme="minorHAnsi"/>
        </w:rPr>
        <w:t>60% of people in this cohort made only one attempt to quit smoking;</w:t>
      </w:r>
    </w:p>
    <w:p w14:paraId="7ECCD1E0" w14:textId="77777777" w:rsidR="00B56576" w:rsidRPr="00B56576" w:rsidRDefault="00B56576" w:rsidP="00B56576">
      <w:pPr>
        <w:pStyle w:val="ListParagraph"/>
        <w:numPr>
          <w:ilvl w:val="0"/>
          <w:numId w:val="6"/>
        </w:numPr>
        <w:spacing w:before="240"/>
        <w:rPr>
          <w:rFonts w:asciiTheme="minorHAnsi" w:hAnsiTheme="minorHAnsi" w:cstheme="minorHAnsi"/>
        </w:rPr>
      </w:pPr>
      <w:bookmarkStart w:id="29" w:name="_Toc69976535"/>
      <w:r w:rsidRPr="00B56576">
        <w:rPr>
          <w:rFonts w:asciiTheme="minorHAnsi" w:hAnsiTheme="minorHAnsi" w:cstheme="minorHAnsi"/>
        </w:rPr>
        <w:t>Overall, people had on average 1.7 separate treatment episodes with smoking cessation therapies with an average break of 15 months between attempts.</w:t>
      </w:r>
    </w:p>
    <w:p w14:paraId="129C8AA5" w14:textId="77777777" w:rsidR="00B56576" w:rsidRPr="00B56576" w:rsidRDefault="00B56576" w:rsidP="00B56576">
      <w:pPr>
        <w:pStyle w:val="Heading3"/>
        <w:keepLines/>
        <w:numPr>
          <w:ilvl w:val="2"/>
          <w:numId w:val="23"/>
        </w:numPr>
        <w:spacing w:after="20"/>
        <w:rPr>
          <w:rFonts w:asciiTheme="minorHAnsi" w:eastAsiaTheme="majorEastAsia" w:hAnsiTheme="minorHAnsi" w:cstheme="minorHAnsi"/>
          <w:b/>
          <w:i/>
          <w:szCs w:val="24"/>
          <w:lang w:eastAsia="en-AU"/>
        </w:rPr>
      </w:pPr>
      <w:bookmarkStart w:id="30" w:name="_Toc72840888"/>
      <w:r w:rsidRPr="00B56576">
        <w:rPr>
          <w:rFonts w:asciiTheme="minorHAnsi" w:eastAsiaTheme="majorEastAsia" w:hAnsiTheme="minorHAnsi" w:cstheme="minorHAnsi"/>
          <w:b/>
          <w:i/>
          <w:szCs w:val="24"/>
          <w:lang w:eastAsia="en-AU"/>
        </w:rPr>
        <w:t>Use of counselling services</w:t>
      </w:r>
      <w:bookmarkEnd w:id="29"/>
      <w:bookmarkEnd w:id="30"/>
    </w:p>
    <w:p w14:paraId="394842BF" w14:textId="2423AC38" w:rsidR="008C40EB" w:rsidRPr="008C40EB" w:rsidRDefault="008C40EB" w:rsidP="009A3A14">
      <w:pPr>
        <w:spacing w:before="240" w:after="0"/>
        <w:rPr>
          <w:rFonts w:cstheme="minorHAnsi"/>
        </w:rPr>
      </w:pPr>
      <w:r w:rsidRPr="008C40EB">
        <w:rPr>
          <w:rFonts w:cstheme="minorHAnsi"/>
        </w:rPr>
        <w:t>According to the Australian Institute of Health and Welfare, National Drug Strategy Household Survey (2019), 1.8% of current smoke</w:t>
      </w:r>
      <w:r w:rsidR="009A3A14">
        <w:rPr>
          <w:rFonts w:cstheme="minorHAnsi"/>
        </w:rPr>
        <w:t xml:space="preserve">rs aged 14 years and over (i.e.  </w:t>
      </w:r>
      <w:r w:rsidRPr="008C40EB">
        <w:rPr>
          <w:rFonts w:cstheme="minorHAnsi"/>
        </w:rPr>
        <w:t xml:space="preserve">approximately 52,000 people) contacted Quitline in 2019. </w:t>
      </w:r>
    </w:p>
    <w:p w14:paraId="1CBE6E8B" w14:textId="52B3AFB7" w:rsidR="008C40EB" w:rsidRPr="009A3A14" w:rsidRDefault="008C40EB" w:rsidP="009A3A14">
      <w:pPr>
        <w:spacing w:before="240" w:after="0"/>
        <w:rPr>
          <w:rFonts w:cstheme="minorHAnsi"/>
        </w:rPr>
      </w:pPr>
      <w:r w:rsidRPr="008C40EB">
        <w:rPr>
          <w:rFonts w:cstheme="minorHAnsi"/>
        </w:rPr>
        <w:t>The survey suggests low uptake of counselling services compared to the population accessing PBS medicines for smoking cessation (265,544 people in 2019/2020).</w:t>
      </w:r>
    </w:p>
    <w:p w14:paraId="5268DBF1" w14:textId="77777777" w:rsidR="008C40EB" w:rsidRPr="008C40EB" w:rsidRDefault="008C40EB" w:rsidP="008C40EB">
      <w:pPr>
        <w:spacing w:after="0"/>
        <w:rPr>
          <w:rFonts w:cstheme="minorHAnsi"/>
          <w:b/>
          <w:bCs/>
        </w:rPr>
      </w:pPr>
    </w:p>
    <w:p w14:paraId="4D19C523" w14:textId="4910E4CD" w:rsidR="00B56576" w:rsidRPr="00B56576" w:rsidRDefault="00B56576" w:rsidP="00B56576">
      <w:pPr>
        <w:pStyle w:val="Heading3"/>
        <w:keepLines/>
        <w:numPr>
          <w:ilvl w:val="2"/>
          <w:numId w:val="23"/>
        </w:numPr>
        <w:spacing w:after="20"/>
        <w:rPr>
          <w:rFonts w:asciiTheme="minorHAnsi" w:hAnsiTheme="minorHAnsi" w:cstheme="minorHAnsi"/>
          <w:szCs w:val="24"/>
        </w:rPr>
      </w:pPr>
      <w:bookmarkStart w:id="31" w:name="_Toc69976536"/>
      <w:bookmarkStart w:id="32" w:name="_Toc72840889"/>
      <w:r w:rsidRPr="00B56576">
        <w:rPr>
          <w:rFonts w:asciiTheme="minorHAnsi" w:eastAsiaTheme="majorEastAsia" w:hAnsiTheme="minorHAnsi" w:cstheme="minorHAnsi"/>
          <w:b/>
          <w:i/>
          <w:szCs w:val="24"/>
          <w:lang w:eastAsia="en-AU"/>
        </w:rPr>
        <w:t>Consistency with PBS restrictions</w:t>
      </w:r>
      <w:bookmarkEnd w:id="31"/>
      <w:bookmarkEnd w:id="32"/>
    </w:p>
    <w:p w14:paraId="70ACA3EE" w14:textId="77777777" w:rsidR="00B56576" w:rsidRPr="00B56576" w:rsidRDefault="00B56576" w:rsidP="00B56576">
      <w:pPr>
        <w:spacing w:before="240" w:after="0"/>
        <w:rPr>
          <w:rFonts w:cstheme="minorHAnsi"/>
        </w:rPr>
      </w:pPr>
      <w:r w:rsidRPr="00B56576">
        <w:rPr>
          <w:rFonts w:cstheme="minorHAnsi"/>
        </w:rPr>
        <w:t>Among people supplied their first ever PBS subsidised smoking cessation therapy in financial year 2018/2019,</w:t>
      </w:r>
    </w:p>
    <w:p w14:paraId="2A19E7F5" w14:textId="77777777" w:rsidR="00B56576" w:rsidRPr="00B56576" w:rsidRDefault="00B56576" w:rsidP="00B56576">
      <w:pPr>
        <w:pStyle w:val="ListParagraph"/>
        <w:numPr>
          <w:ilvl w:val="0"/>
          <w:numId w:val="25"/>
        </w:numPr>
        <w:rPr>
          <w:rFonts w:asciiTheme="minorHAnsi" w:hAnsiTheme="minorHAnsi" w:cstheme="minorHAnsi"/>
        </w:rPr>
      </w:pPr>
      <w:r w:rsidRPr="00B56576">
        <w:rPr>
          <w:rFonts w:asciiTheme="minorHAnsi" w:hAnsiTheme="minorHAnsi" w:cstheme="minorHAnsi"/>
        </w:rPr>
        <w:t>88% of NRT users complied with the PBS restriction in that they received a maximum of 12 weeks of PBS subsidised NRT per year. Analysis of all first ever NRT initiators in 2018/2019 showed that:</w:t>
      </w:r>
    </w:p>
    <w:p w14:paraId="3EE47DA4" w14:textId="77777777" w:rsidR="00B56576" w:rsidRPr="00B56576" w:rsidRDefault="00B56576" w:rsidP="00B56576">
      <w:pPr>
        <w:pStyle w:val="ListParagraph"/>
        <w:numPr>
          <w:ilvl w:val="0"/>
          <w:numId w:val="8"/>
        </w:numPr>
        <w:rPr>
          <w:rFonts w:asciiTheme="minorHAnsi" w:hAnsiTheme="minorHAnsi" w:cstheme="minorHAnsi"/>
        </w:rPr>
      </w:pPr>
      <w:r w:rsidRPr="00B56576">
        <w:rPr>
          <w:rFonts w:asciiTheme="minorHAnsi" w:hAnsiTheme="minorHAnsi" w:cstheme="minorHAnsi"/>
        </w:rPr>
        <w:t>60 % received only one prescription for NRT which covers 4 weeks of therapy,</w:t>
      </w:r>
    </w:p>
    <w:p w14:paraId="5EB4DC09" w14:textId="77777777" w:rsidR="00B56576" w:rsidRPr="00B56576" w:rsidRDefault="00B56576" w:rsidP="00B56576">
      <w:pPr>
        <w:pStyle w:val="ListParagraph"/>
        <w:numPr>
          <w:ilvl w:val="0"/>
          <w:numId w:val="8"/>
        </w:numPr>
        <w:rPr>
          <w:rFonts w:asciiTheme="minorHAnsi" w:hAnsiTheme="minorHAnsi" w:cstheme="minorHAnsi"/>
        </w:rPr>
      </w:pPr>
      <w:r w:rsidRPr="00B56576">
        <w:rPr>
          <w:rFonts w:asciiTheme="minorHAnsi" w:hAnsiTheme="minorHAnsi" w:cstheme="minorHAnsi"/>
        </w:rPr>
        <w:t>17% received 2 prescriptions for NRT which covers 8 weeks of therapy,</w:t>
      </w:r>
    </w:p>
    <w:p w14:paraId="5B6A2ED8" w14:textId="77777777" w:rsidR="00B56576" w:rsidRPr="00B56576" w:rsidRDefault="00B56576" w:rsidP="00B56576">
      <w:pPr>
        <w:pStyle w:val="ListParagraph"/>
        <w:numPr>
          <w:ilvl w:val="0"/>
          <w:numId w:val="8"/>
        </w:numPr>
        <w:rPr>
          <w:rFonts w:asciiTheme="minorHAnsi" w:hAnsiTheme="minorHAnsi" w:cstheme="minorHAnsi"/>
        </w:rPr>
      </w:pPr>
      <w:r w:rsidRPr="00B56576">
        <w:rPr>
          <w:rFonts w:asciiTheme="minorHAnsi" w:hAnsiTheme="minorHAnsi" w:cstheme="minorHAnsi"/>
        </w:rPr>
        <w:t>12% received 3 prescriptions for NRT which covers 12 weeks of therapy.</w:t>
      </w:r>
    </w:p>
    <w:p w14:paraId="1393EBB0" w14:textId="77777777" w:rsidR="00B56576" w:rsidRPr="00B56576" w:rsidRDefault="00B56576" w:rsidP="00B56576">
      <w:pPr>
        <w:pStyle w:val="ListParagraph"/>
        <w:numPr>
          <w:ilvl w:val="0"/>
          <w:numId w:val="6"/>
        </w:numPr>
        <w:rPr>
          <w:rFonts w:asciiTheme="minorHAnsi" w:hAnsiTheme="minorHAnsi" w:cstheme="minorHAnsi"/>
        </w:rPr>
      </w:pPr>
      <w:r w:rsidRPr="00B56576">
        <w:rPr>
          <w:rFonts w:asciiTheme="minorHAnsi" w:hAnsiTheme="minorHAnsi" w:cstheme="minorHAnsi"/>
        </w:rPr>
        <w:t>98% of varenicline users complied with the PBS restriction requirement in that they received a maximum of 24 weeks supply of PBS subsidised varenicline per 12-month period. Analysis of the type of packs dispensed to first ever initiators to varenicline in 2018/2019 showed that:</w:t>
      </w:r>
    </w:p>
    <w:p w14:paraId="2CC582E6" w14:textId="77777777" w:rsidR="00B56576" w:rsidRPr="00B56576" w:rsidRDefault="00B56576" w:rsidP="00B56576">
      <w:pPr>
        <w:pStyle w:val="ListParagraph"/>
        <w:numPr>
          <w:ilvl w:val="0"/>
          <w:numId w:val="13"/>
        </w:numPr>
        <w:spacing w:after="200" w:line="276" w:lineRule="auto"/>
        <w:rPr>
          <w:rFonts w:asciiTheme="minorHAnsi" w:hAnsiTheme="minorHAnsi" w:cstheme="minorHAnsi"/>
        </w:rPr>
      </w:pPr>
      <w:r w:rsidRPr="00B56576">
        <w:rPr>
          <w:rFonts w:asciiTheme="minorHAnsi" w:hAnsiTheme="minorHAnsi" w:cstheme="minorHAnsi"/>
        </w:rPr>
        <w:t xml:space="preserve">56% of initiators had only a starter pack (duration of 4 weeks), </w:t>
      </w:r>
    </w:p>
    <w:p w14:paraId="303B81BB" w14:textId="77777777" w:rsidR="00B56576" w:rsidRPr="00B56576" w:rsidRDefault="00B56576" w:rsidP="00B56576">
      <w:pPr>
        <w:pStyle w:val="ListParagraph"/>
        <w:numPr>
          <w:ilvl w:val="0"/>
          <w:numId w:val="13"/>
        </w:numPr>
        <w:spacing w:after="200" w:line="276" w:lineRule="auto"/>
        <w:rPr>
          <w:rFonts w:asciiTheme="minorHAnsi" w:hAnsiTheme="minorHAnsi" w:cstheme="minorHAnsi"/>
        </w:rPr>
      </w:pPr>
      <w:r w:rsidRPr="00B56576">
        <w:rPr>
          <w:rFonts w:asciiTheme="minorHAnsi" w:hAnsiTheme="minorHAnsi" w:cstheme="minorHAnsi"/>
        </w:rPr>
        <w:t xml:space="preserve">24% had a starter pack plus a continuation pack or a starter pack plus two completion packs (duration of 12 weeks) </w:t>
      </w:r>
    </w:p>
    <w:p w14:paraId="75ECA40B" w14:textId="77777777" w:rsidR="00B56576" w:rsidRPr="00B56576" w:rsidRDefault="00B56576" w:rsidP="00B56576">
      <w:pPr>
        <w:pStyle w:val="ListParagraph"/>
        <w:numPr>
          <w:ilvl w:val="0"/>
          <w:numId w:val="13"/>
        </w:numPr>
        <w:spacing w:after="200" w:line="276" w:lineRule="auto"/>
        <w:rPr>
          <w:rFonts w:asciiTheme="minorHAnsi" w:hAnsiTheme="minorHAnsi" w:cstheme="minorHAnsi"/>
        </w:rPr>
      </w:pPr>
      <w:r w:rsidRPr="00B56576">
        <w:rPr>
          <w:rFonts w:asciiTheme="minorHAnsi" w:hAnsiTheme="minorHAnsi" w:cstheme="minorHAnsi"/>
        </w:rPr>
        <w:t>1% had a starter pack plus a continuation pack and three completion packs (duration of 24 weeks).</w:t>
      </w:r>
    </w:p>
    <w:p w14:paraId="125E3448" w14:textId="77777777" w:rsidR="00B56576" w:rsidRPr="00B56576" w:rsidRDefault="00B56576" w:rsidP="00B56576">
      <w:pPr>
        <w:pStyle w:val="ListParagraph"/>
        <w:numPr>
          <w:ilvl w:val="0"/>
          <w:numId w:val="6"/>
        </w:numPr>
        <w:rPr>
          <w:rFonts w:asciiTheme="minorHAnsi" w:hAnsiTheme="minorHAnsi" w:cstheme="minorHAnsi"/>
        </w:rPr>
      </w:pPr>
      <w:r w:rsidRPr="00B56576">
        <w:rPr>
          <w:rFonts w:asciiTheme="minorHAnsi" w:hAnsiTheme="minorHAnsi" w:cstheme="minorHAnsi"/>
        </w:rPr>
        <w:t>91% of bupropion users complied with the PBS restriction requirement in that they received a maximum of 9 weeks supply of PBS subsidised bupropion per year. Analysis of all first ever bupropion initiators in 2018/2019 showed that:</w:t>
      </w:r>
    </w:p>
    <w:p w14:paraId="4308726B" w14:textId="77777777" w:rsidR="00B56576" w:rsidRPr="00B56576" w:rsidRDefault="00B56576" w:rsidP="00B56576">
      <w:pPr>
        <w:pStyle w:val="ListParagraph"/>
        <w:numPr>
          <w:ilvl w:val="0"/>
          <w:numId w:val="13"/>
        </w:numPr>
        <w:spacing w:after="200" w:line="276" w:lineRule="auto"/>
        <w:rPr>
          <w:rFonts w:asciiTheme="minorHAnsi" w:hAnsiTheme="minorHAnsi" w:cstheme="minorHAnsi"/>
        </w:rPr>
      </w:pPr>
      <w:r w:rsidRPr="00B56576">
        <w:rPr>
          <w:rFonts w:asciiTheme="minorHAnsi" w:hAnsiTheme="minorHAnsi" w:cstheme="minorHAnsi"/>
        </w:rPr>
        <w:t xml:space="preserve">45% of initiators had only a starter pack (duration of 2 weeks), </w:t>
      </w:r>
    </w:p>
    <w:p w14:paraId="361A388E" w14:textId="77777777" w:rsidR="00B56576" w:rsidRPr="00B56576" w:rsidRDefault="00B56576" w:rsidP="00B56576">
      <w:pPr>
        <w:pStyle w:val="ListParagraph"/>
        <w:numPr>
          <w:ilvl w:val="0"/>
          <w:numId w:val="13"/>
        </w:numPr>
        <w:spacing w:after="200" w:line="276" w:lineRule="auto"/>
        <w:rPr>
          <w:rFonts w:asciiTheme="minorHAnsi" w:hAnsiTheme="minorHAnsi" w:cstheme="minorHAnsi"/>
        </w:rPr>
      </w:pPr>
      <w:r w:rsidRPr="00B56576">
        <w:rPr>
          <w:rFonts w:asciiTheme="minorHAnsi" w:hAnsiTheme="minorHAnsi" w:cstheme="minorHAnsi"/>
        </w:rPr>
        <w:t>20% of initiators completed up to 8 weeks of therapy.</w:t>
      </w:r>
    </w:p>
    <w:p w14:paraId="24E9E130" w14:textId="04364C66" w:rsidR="00B56576" w:rsidRPr="000A3424" w:rsidRDefault="00B56576" w:rsidP="000A3424">
      <w:pPr>
        <w:spacing w:before="240"/>
      </w:pPr>
      <w:r w:rsidRPr="00B56576">
        <w:rPr>
          <w:rFonts w:cstheme="minorHAnsi"/>
        </w:rPr>
        <w:t xml:space="preserve">There was no significant difference in duration of NRT therapy between Aboriginal and Torres </w:t>
      </w:r>
      <w:r w:rsidR="00E424AB">
        <w:rPr>
          <w:rFonts w:cstheme="minorHAnsi"/>
        </w:rPr>
        <w:t>Strait Islander people and non-I</w:t>
      </w:r>
      <w:r w:rsidRPr="00B56576">
        <w:rPr>
          <w:rFonts w:cstheme="minorHAnsi"/>
        </w:rPr>
        <w:t>ndigenous people who initiated NRT for the first time in 2018/2019. This is despite Aboriginal and Torres Strait Islander people</w:t>
      </w:r>
      <w:r>
        <w:t xml:space="preserve"> being allowed </w:t>
      </w:r>
      <w:r w:rsidRPr="003175AC">
        <w:t>a</w:t>
      </w:r>
      <w:r>
        <w:t xml:space="preserve">n additional </w:t>
      </w:r>
      <w:r w:rsidRPr="003175AC">
        <w:t xml:space="preserve">12-week course per 12-month period </w:t>
      </w:r>
      <w:r>
        <w:t xml:space="preserve">(up to 24 weeks) </w:t>
      </w:r>
      <w:r w:rsidRPr="005A39EC">
        <w:t>of PBS subsidised NRT</w:t>
      </w:r>
      <w:r>
        <w:t xml:space="preserve"> in the form of 25 mg/16 hour</w:t>
      </w:r>
      <w:r w:rsidRPr="005A39EC">
        <w:t xml:space="preserve"> patch</w:t>
      </w:r>
      <w:r>
        <w:t>, 21 mg/24 hour</w:t>
      </w:r>
      <w:r w:rsidRPr="005A39EC">
        <w:t xml:space="preserve"> patch</w:t>
      </w:r>
      <w:r>
        <w:t xml:space="preserve">, </w:t>
      </w:r>
      <w:r w:rsidRPr="005A39EC">
        <w:t>lozenge</w:t>
      </w:r>
      <w:r>
        <w:t>s and gum. However, this does not include</w:t>
      </w:r>
      <w:r w:rsidR="00F266DF">
        <w:t xml:space="preserve"> data on NRT therapies</w:t>
      </w:r>
      <w:r>
        <w:t xml:space="preserve"> </w:t>
      </w:r>
      <w:r w:rsidR="00CE63A2">
        <w:t>provided</w:t>
      </w:r>
      <w:r>
        <w:t xml:space="preserve"> </w:t>
      </w:r>
      <w:r w:rsidR="00CE63A2">
        <w:t>by Aboriginal Health Services that are participating in the Remote Area Aboriginal Health Services (RAAHS) program</w:t>
      </w:r>
      <w:r>
        <w:t>.</w:t>
      </w:r>
    </w:p>
    <w:p w14:paraId="65BA275C" w14:textId="0ED0B250" w:rsidR="000A3424" w:rsidRPr="000A3424" w:rsidRDefault="000A3424" w:rsidP="000A3424">
      <w:pPr>
        <w:pStyle w:val="Heading3"/>
        <w:keepLines/>
        <w:numPr>
          <w:ilvl w:val="2"/>
          <w:numId w:val="23"/>
        </w:numPr>
        <w:spacing w:after="20"/>
        <w:rPr>
          <w:rFonts w:asciiTheme="minorHAnsi" w:eastAsiaTheme="majorEastAsia" w:hAnsiTheme="minorHAnsi" w:cstheme="minorHAnsi"/>
          <w:b/>
          <w:i/>
          <w:szCs w:val="24"/>
          <w:lang w:eastAsia="en-AU"/>
        </w:rPr>
      </w:pPr>
      <w:bookmarkStart w:id="33" w:name="_Toc72840890"/>
      <w:r w:rsidRPr="000A3424">
        <w:rPr>
          <w:rFonts w:asciiTheme="minorHAnsi" w:eastAsiaTheme="majorEastAsia" w:hAnsiTheme="minorHAnsi" w:cstheme="minorHAnsi"/>
          <w:b/>
          <w:i/>
          <w:szCs w:val="24"/>
          <w:lang w:eastAsia="en-AU"/>
        </w:rPr>
        <w:t>Stakeholder views (Forum and public consultations)</w:t>
      </w:r>
      <w:bookmarkEnd w:id="33"/>
    </w:p>
    <w:p w14:paraId="3B70A49C" w14:textId="2D9774B0" w:rsidR="00B56576" w:rsidRPr="00A47F3D" w:rsidRDefault="00B56576" w:rsidP="00B56576">
      <w:pPr>
        <w:spacing w:before="240"/>
      </w:pPr>
      <w:r w:rsidRPr="00A47F3D">
        <w:t>Stakeholders co</w:t>
      </w:r>
      <w:r w:rsidR="0043625B">
        <w:t>nsidered the cost of OTC</w:t>
      </w:r>
      <w:r w:rsidRPr="00A47F3D">
        <w:t xml:space="preserve"> NRT can be a significant barrier for many people, particularly those from populations with higher rates of smoking such as lower socioeconomic groups, Aboriginal and Torres Strait Islander people, and people with a mental illness. Stakeholders considered that financial cost was an important factor in treatment failures, particularly for non-PBS subsidised NRT therapies and when therapy </w:t>
      </w:r>
      <w:r>
        <w:t>was</w:t>
      </w:r>
      <w:r w:rsidRPr="00A47F3D">
        <w:t xml:space="preserve"> required for longer than is available on the PBS.</w:t>
      </w:r>
      <w:r>
        <w:t xml:space="preserve"> Table B.2 provides indicative costs for OTC and PBS smoking cessatio</w:t>
      </w:r>
      <w:r w:rsidR="00462729">
        <w:t>n therapies (Background p. 13</w:t>
      </w:r>
      <w:r>
        <w:t>)</w:t>
      </w:r>
    </w:p>
    <w:p w14:paraId="6B67DB06" w14:textId="134A39C5" w:rsidR="00B56576" w:rsidRPr="00A47F3D" w:rsidRDefault="00B56576" w:rsidP="00B56576">
      <w:r w:rsidRPr="00A47F3D">
        <w:t>One stakeholder noted the 2018 evaluation of the Tackling Indigenous Smoking (TIS)</w:t>
      </w:r>
      <w:r w:rsidRPr="00A47F3D">
        <w:rPr>
          <w:vertAlign w:val="superscript"/>
        </w:rPr>
        <w:footnoteReference w:id="2"/>
      </w:r>
      <w:r w:rsidRPr="00A47F3D">
        <w:t xml:space="preserve"> program found that the high cost of NRTs that are not availab</w:t>
      </w:r>
      <w:r w:rsidR="00AF722A">
        <w:t xml:space="preserve">le on the PBS </w:t>
      </w:r>
      <w:r w:rsidRPr="00A47F3D">
        <w:t xml:space="preserve">was a significant barrier to NRT access for Aboriginal and Torres Strait Islander people. </w:t>
      </w:r>
    </w:p>
    <w:p w14:paraId="0A4A53AB" w14:textId="68CCD29E" w:rsidR="00B56576" w:rsidRPr="00A47F3D" w:rsidRDefault="00B56576" w:rsidP="00B56576">
      <w:r w:rsidRPr="00A47F3D">
        <w:t>Stakeholders also noted that lack of access to smoking cessation medicines is particularly important for people in regional and remote areas</w:t>
      </w:r>
      <w:r w:rsidR="00AF722A">
        <w:t>,</w:t>
      </w:r>
      <w:r w:rsidR="00AF722A" w:rsidRPr="00AF722A">
        <w:t xml:space="preserve"> </w:t>
      </w:r>
      <w:r w:rsidR="00AF722A">
        <w:t xml:space="preserve">including </w:t>
      </w:r>
      <w:r w:rsidR="00AF722A" w:rsidRPr="00AF722A">
        <w:t>Aboriginal and Torres Strait Islander people</w:t>
      </w:r>
      <w:r w:rsidR="00AF722A">
        <w:t xml:space="preserve">. </w:t>
      </w:r>
    </w:p>
    <w:p w14:paraId="60787C8B" w14:textId="77777777" w:rsidR="00B56576" w:rsidRPr="00A47F3D" w:rsidRDefault="00B56576" w:rsidP="00B56576">
      <w:r w:rsidRPr="00A47F3D">
        <w:t>Some clinicians noted that in their experience therapies are being used for longer than indicated to allow people additional time to abstain, and often in combination (short + long acting NRT combination, varenicline + NRT) to manage withdrawal and cravings.</w:t>
      </w:r>
    </w:p>
    <w:p w14:paraId="7BD3AF01" w14:textId="3EB28C43" w:rsidR="00032349" w:rsidRPr="0081138A" w:rsidRDefault="00486248" w:rsidP="0081138A">
      <w:pPr>
        <w:pStyle w:val="Heading2"/>
        <w:rPr>
          <w:rFonts w:asciiTheme="minorHAnsi" w:hAnsiTheme="minorHAnsi" w:cstheme="minorHAnsi"/>
          <w:i w:val="0"/>
          <w:color w:val="4F81BD" w:themeColor="accent1"/>
          <w:sz w:val="40"/>
          <w:szCs w:val="40"/>
        </w:rPr>
      </w:pPr>
      <w:bookmarkStart w:id="34" w:name="_Toc72840891"/>
      <w:r>
        <w:rPr>
          <w:rFonts w:asciiTheme="minorHAnsi" w:hAnsiTheme="minorHAnsi" w:cstheme="minorHAnsi"/>
          <w:i w:val="0"/>
          <w:color w:val="4F81BD" w:themeColor="accent1"/>
          <w:sz w:val="40"/>
          <w:szCs w:val="40"/>
        </w:rPr>
        <w:t>2.2</w:t>
      </w:r>
      <w:r w:rsidR="0061661B" w:rsidRPr="0081138A">
        <w:rPr>
          <w:rFonts w:asciiTheme="minorHAnsi" w:hAnsiTheme="minorHAnsi" w:cstheme="minorHAnsi"/>
          <w:i w:val="0"/>
          <w:color w:val="4F81BD" w:themeColor="accent1"/>
          <w:sz w:val="40"/>
          <w:szCs w:val="40"/>
        </w:rPr>
        <w:t xml:space="preserve"> </w:t>
      </w:r>
      <w:r w:rsidR="00032349" w:rsidRPr="0081138A">
        <w:rPr>
          <w:rFonts w:asciiTheme="minorHAnsi" w:hAnsiTheme="minorHAnsi" w:cstheme="minorHAnsi"/>
          <w:i w:val="0"/>
          <w:color w:val="4F81BD" w:themeColor="accent1"/>
          <w:sz w:val="40"/>
          <w:szCs w:val="40"/>
        </w:rPr>
        <w:t>Background</w:t>
      </w:r>
      <w:bookmarkEnd w:id="34"/>
      <w:r w:rsidR="00032349" w:rsidRPr="0081138A">
        <w:rPr>
          <w:rFonts w:asciiTheme="minorHAnsi" w:hAnsiTheme="minorHAnsi" w:cstheme="minorHAnsi"/>
          <w:i w:val="0"/>
          <w:color w:val="4F81BD" w:themeColor="accent1"/>
          <w:sz w:val="40"/>
          <w:szCs w:val="40"/>
        </w:rPr>
        <w:t xml:space="preserve"> </w:t>
      </w:r>
    </w:p>
    <w:p w14:paraId="02EDBE4A" w14:textId="40DF4021" w:rsidR="001C7948" w:rsidRPr="00A80CC9" w:rsidRDefault="00B26750" w:rsidP="00F366F4">
      <w:pPr>
        <w:jc w:val="both"/>
        <w:rPr>
          <w:iCs/>
        </w:rPr>
      </w:pPr>
      <w:r w:rsidRPr="00B26750">
        <w:t xml:space="preserve">The Department of Health has engaged the services of </w:t>
      </w:r>
      <w:r w:rsidRPr="00B26750">
        <w:rPr>
          <w:highlight w:val="black"/>
        </w:rPr>
        <w:t>xxxxxxxxxx xx xxxxx xxxxxxxxx xxxxxxx</w:t>
      </w:r>
      <w:r w:rsidRPr="00B26750">
        <w:t xml:space="preserve"> to undertake </w:t>
      </w:r>
      <w:r w:rsidRPr="00B26750">
        <w:rPr>
          <w:iCs/>
        </w:rPr>
        <w:t>utilisation analysis of PBS-listed medicines for smoking cessation including but not limited to patient demographics, time on</w:t>
      </w:r>
      <w:r>
        <w:rPr>
          <w:iCs/>
        </w:rPr>
        <w:t xml:space="preserve"> </w:t>
      </w:r>
      <w:r w:rsidR="001C7948" w:rsidRPr="00A80CC9">
        <w:rPr>
          <w:iCs/>
        </w:rPr>
        <w:t>treatment, and the proportion using PBS subsidised combination treatment.</w:t>
      </w:r>
      <w:r w:rsidR="001C7948">
        <w:rPr>
          <w:iCs/>
        </w:rPr>
        <w:t xml:space="preserve"> Data from additional data sources from literature have been utilised. </w:t>
      </w:r>
      <w:r w:rsidR="001C7948">
        <w:t>The findings of the research are collated into this report that may be considered by the PBAC and its Drug Utilisation Sub-committee</w:t>
      </w:r>
      <w:r w:rsidR="008D56F5">
        <w:t xml:space="preserve"> (DUSC)</w:t>
      </w:r>
      <w:r w:rsidR="001C7948">
        <w:t>.</w:t>
      </w:r>
    </w:p>
    <w:p w14:paraId="75A9D959" w14:textId="3B154471" w:rsidR="00032349" w:rsidRPr="00486248" w:rsidRDefault="00486248" w:rsidP="00F366F4">
      <w:pPr>
        <w:pStyle w:val="Heading2"/>
        <w:rPr>
          <w:rFonts w:asciiTheme="minorHAnsi" w:hAnsiTheme="minorHAnsi" w:cstheme="minorHAnsi"/>
          <w:color w:val="4F81BD" w:themeColor="accent1"/>
          <w:sz w:val="40"/>
          <w:szCs w:val="40"/>
        </w:rPr>
      </w:pPr>
      <w:bookmarkStart w:id="35" w:name="_Toc72840892"/>
      <w:r>
        <w:rPr>
          <w:rFonts w:asciiTheme="minorHAnsi" w:hAnsiTheme="minorHAnsi" w:cstheme="minorHAnsi"/>
          <w:i w:val="0"/>
          <w:color w:val="4F81BD" w:themeColor="accent1"/>
          <w:sz w:val="40"/>
          <w:szCs w:val="40"/>
        </w:rPr>
        <w:t>2.3</w:t>
      </w:r>
      <w:r w:rsidR="0061661B" w:rsidRPr="00486248">
        <w:rPr>
          <w:rFonts w:asciiTheme="minorHAnsi" w:hAnsiTheme="minorHAnsi" w:cstheme="minorHAnsi"/>
          <w:i w:val="0"/>
          <w:color w:val="4F81BD" w:themeColor="accent1"/>
          <w:sz w:val="40"/>
          <w:szCs w:val="40"/>
        </w:rPr>
        <w:t xml:space="preserve"> </w:t>
      </w:r>
      <w:r w:rsidR="00032349" w:rsidRPr="00486248">
        <w:rPr>
          <w:rFonts w:asciiTheme="minorHAnsi" w:hAnsiTheme="minorHAnsi" w:cstheme="minorHAnsi"/>
          <w:i w:val="0"/>
          <w:color w:val="4F81BD" w:themeColor="accent1"/>
          <w:sz w:val="40"/>
          <w:szCs w:val="40"/>
        </w:rPr>
        <w:t>Method</w:t>
      </w:r>
      <w:r w:rsidR="00FD579A" w:rsidRPr="00486248">
        <w:rPr>
          <w:rFonts w:asciiTheme="minorHAnsi" w:hAnsiTheme="minorHAnsi" w:cstheme="minorHAnsi"/>
          <w:i w:val="0"/>
          <w:color w:val="4F81BD" w:themeColor="accent1"/>
          <w:sz w:val="40"/>
          <w:szCs w:val="40"/>
        </w:rPr>
        <w:t>ology</w:t>
      </w:r>
      <w:bookmarkEnd w:id="35"/>
    </w:p>
    <w:p w14:paraId="10041B95" w14:textId="0711D622" w:rsidR="00032349" w:rsidRPr="00847FD3" w:rsidRDefault="00486248" w:rsidP="00847FD3">
      <w:pPr>
        <w:pStyle w:val="Heading3"/>
        <w:rPr>
          <w:rFonts w:asciiTheme="minorHAnsi" w:eastAsiaTheme="majorEastAsia" w:hAnsiTheme="minorHAnsi" w:cstheme="minorHAnsi"/>
          <w:b/>
          <w:i/>
          <w:iCs/>
          <w:sz w:val="28"/>
          <w:szCs w:val="28"/>
        </w:rPr>
      </w:pPr>
      <w:bookmarkStart w:id="36" w:name="_Toc72840893"/>
      <w:r>
        <w:rPr>
          <w:rFonts w:asciiTheme="minorHAnsi" w:eastAsiaTheme="majorEastAsia" w:hAnsiTheme="minorHAnsi" w:cstheme="minorHAnsi"/>
          <w:b/>
          <w:i/>
          <w:sz w:val="28"/>
          <w:szCs w:val="28"/>
        </w:rPr>
        <w:t>2.3</w:t>
      </w:r>
      <w:r w:rsidR="0061661B" w:rsidRPr="00847FD3">
        <w:rPr>
          <w:rFonts w:asciiTheme="minorHAnsi" w:eastAsiaTheme="majorEastAsia" w:hAnsiTheme="minorHAnsi" w:cstheme="minorHAnsi"/>
          <w:b/>
          <w:i/>
          <w:sz w:val="28"/>
          <w:szCs w:val="28"/>
        </w:rPr>
        <w:t xml:space="preserve">.1 </w:t>
      </w:r>
      <w:r w:rsidR="00032349" w:rsidRPr="000A3424">
        <w:rPr>
          <w:rFonts w:asciiTheme="minorHAnsi" w:eastAsiaTheme="majorEastAsia" w:hAnsiTheme="minorHAnsi" w:cstheme="minorHAnsi"/>
          <w:b/>
          <w:i/>
          <w:sz w:val="28"/>
          <w:szCs w:val="28"/>
        </w:rPr>
        <w:t>Data source</w:t>
      </w:r>
      <w:bookmarkEnd w:id="36"/>
    </w:p>
    <w:p w14:paraId="08A2CB12" w14:textId="77777777" w:rsidR="001C7948" w:rsidRDefault="001C7948" w:rsidP="00D15E9A">
      <w:pPr>
        <w:jc w:val="both"/>
      </w:pPr>
      <w:r>
        <w:t>The D</w:t>
      </w:r>
      <w:r w:rsidRPr="00813033">
        <w:t>epartment provide</w:t>
      </w:r>
      <w:r>
        <w:t>d</w:t>
      </w:r>
      <w:r w:rsidRPr="00813033">
        <w:t xml:space="preserve"> patient level PBS data for the time period of 1 </w:t>
      </w:r>
      <w:r w:rsidR="00F602A5">
        <w:t>July</w:t>
      </w:r>
      <w:r w:rsidRPr="00813033">
        <w:t xml:space="preserve"> 20</w:t>
      </w:r>
      <w:r w:rsidR="00F602A5">
        <w:t>10</w:t>
      </w:r>
      <w:r w:rsidRPr="00813033">
        <w:t xml:space="preserve"> to 3</w:t>
      </w:r>
      <w:r w:rsidR="00F602A5">
        <w:t>0</w:t>
      </w:r>
      <w:r w:rsidRPr="00813033">
        <w:t> </w:t>
      </w:r>
      <w:r w:rsidR="00F602A5">
        <w:t>June</w:t>
      </w:r>
      <w:r w:rsidRPr="00813033">
        <w:t xml:space="preserve"> 20</w:t>
      </w:r>
      <w:r w:rsidR="00F602A5">
        <w:t>20</w:t>
      </w:r>
      <w:r w:rsidRPr="00813033">
        <w:t xml:space="preserve"> for this </w:t>
      </w:r>
      <w:r w:rsidR="006B5FB9">
        <w:t>research</w:t>
      </w:r>
      <w:r w:rsidRPr="00813033">
        <w:t>.</w:t>
      </w:r>
      <w:r w:rsidRPr="009C46BE">
        <w:t xml:space="preserve"> </w:t>
      </w:r>
      <w:r>
        <w:t>The medicines for smoking cessation which are included in the analysis are listed in Table 1.</w:t>
      </w:r>
    </w:p>
    <w:p w14:paraId="68551DE5" w14:textId="77777777" w:rsidR="001C7948" w:rsidRPr="00AD0302" w:rsidRDefault="001C7948" w:rsidP="001C7948">
      <w:pPr>
        <w:spacing w:before="120" w:after="120"/>
        <w:jc w:val="both"/>
        <w:rPr>
          <w:b/>
        </w:rPr>
      </w:pPr>
      <w:r w:rsidRPr="00AD0302">
        <w:rPr>
          <w:b/>
        </w:rPr>
        <w:t>Table 1: Medicines included in the analysis</w:t>
      </w:r>
    </w:p>
    <w:tbl>
      <w:tblPr>
        <w:tblStyle w:val="TableGrid"/>
        <w:tblW w:w="5000" w:type="pct"/>
        <w:tblLook w:val="04A0" w:firstRow="1" w:lastRow="0" w:firstColumn="1" w:lastColumn="0" w:noHBand="0" w:noVBand="1"/>
      </w:tblPr>
      <w:tblGrid>
        <w:gridCol w:w="1493"/>
        <w:gridCol w:w="1120"/>
        <w:gridCol w:w="1691"/>
        <w:gridCol w:w="2456"/>
        <w:gridCol w:w="2256"/>
      </w:tblGrid>
      <w:tr w:rsidR="001C7948" w:rsidRPr="006B5FB9" w14:paraId="489796F6" w14:textId="77777777" w:rsidTr="006B5FB9">
        <w:tc>
          <w:tcPr>
            <w:tcW w:w="828" w:type="pct"/>
          </w:tcPr>
          <w:p w14:paraId="2468C86A" w14:textId="77777777" w:rsidR="001C7948" w:rsidRPr="006B5FB9" w:rsidRDefault="006B5FB9" w:rsidP="003D64B1">
            <w:pPr>
              <w:jc w:val="both"/>
              <w:rPr>
                <w:b/>
                <w:sz w:val="22"/>
                <w:szCs w:val="22"/>
              </w:rPr>
            </w:pPr>
            <w:r w:rsidRPr="006B5FB9">
              <w:rPr>
                <w:b/>
                <w:sz w:val="22"/>
                <w:szCs w:val="22"/>
              </w:rPr>
              <w:t>Medicine</w:t>
            </w:r>
            <w:r w:rsidR="001C7948" w:rsidRPr="006B5FB9">
              <w:rPr>
                <w:b/>
                <w:sz w:val="22"/>
                <w:szCs w:val="22"/>
              </w:rPr>
              <w:t xml:space="preserve"> </w:t>
            </w:r>
          </w:p>
        </w:tc>
        <w:tc>
          <w:tcPr>
            <w:tcW w:w="621" w:type="pct"/>
          </w:tcPr>
          <w:p w14:paraId="62DD4566" w14:textId="77777777" w:rsidR="001C7948" w:rsidRPr="006B5FB9" w:rsidRDefault="001C7948" w:rsidP="003D64B1">
            <w:pPr>
              <w:jc w:val="both"/>
              <w:rPr>
                <w:b/>
                <w:sz w:val="22"/>
                <w:szCs w:val="22"/>
              </w:rPr>
            </w:pPr>
            <w:r w:rsidRPr="006B5FB9">
              <w:rPr>
                <w:b/>
                <w:sz w:val="22"/>
                <w:szCs w:val="22"/>
              </w:rPr>
              <w:t>ATC code</w:t>
            </w:r>
          </w:p>
        </w:tc>
        <w:tc>
          <w:tcPr>
            <w:tcW w:w="938" w:type="pct"/>
          </w:tcPr>
          <w:p w14:paraId="5DBC516A" w14:textId="77777777" w:rsidR="001C7948" w:rsidRPr="006B5FB9" w:rsidRDefault="001C7948" w:rsidP="006B5FB9">
            <w:pPr>
              <w:rPr>
                <w:b/>
                <w:sz w:val="22"/>
                <w:szCs w:val="22"/>
              </w:rPr>
            </w:pPr>
            <w:r w:rsidRPr="006B5FB9">
              <w:rPr>
                <w:b/>
                <w:sz w:val="22"/>
                <w:szCs w:val="22"/>
              </w:rPr>
              <w:t>Category</w:t>
            </w:r>
          </w:p>
        </w:tc>
        <w:tc>
          <w:tcPr>
            <w:tcW w:w="1362" w:type="pct"/>
          </w:tcPr>
          <w:p w14:paraId="1C8C36E9" w14:textId="77777777" w:rsidR="001C7948" w:rsidRPr="006B5FB9" w:rsidRDefault="001C7948" w:rsidP="006B5FB9">
            <w:pPr>
              <w:rPr>
                <w:b/>
                <w:sz w:val="22"/>
                <w:szCs w:val="22"/>
              </w:rPr>
            </w:pPr>
            <w:r w:rsidRPr="006B5FB9">
              <w:rPr>
                <w:b/>
                <w:sz w:val="22"/>
                <w:szCs w:val="22"/>
              </w:rPr>
              <w:t>Indication for use</w:t>
            </w:r>
          </w:p>
        </w:tc>
        <w:tc>
          <w:tcPr>
            <w:tcW w:w="1251" w:type="pct"/>
          </w:tcPr>
          <w:p w14:paraId="4A235598" w14:textId="77777777" w:rsidR="001C7948" w:rsidRPr="006B5FB9" w:rsidRDefault="001C7948" w:rsidP="006B5FB9">
            <w:pPr>
              <w:rPr>
                <w:b/>
                <w:sz w:val="22"/>
                <w:szCs w:val="22"/>
              </w:rPr>
            </w:pPr>
            <w:r w:rsidRPr="006B5FB9">
              <w:rPr>
                <w:b/>
                <w:sz w:val="22"/>
                <w:szCs w:val="22"/>
              </w:rPr>
              <w:t>Date of listing on the PBS</w:t>
            </w:r>
          </w:p>
        </w:tc>
      </w:tr>
      <w:tr w:rsidR="001C7948" w:rsidRPr="006B5FB9" w14:paraId="05B356CF" w14:textId="77777777" w:rsidTr="006B5FB9">
        <w:tc>
          <w:tcPr>
            <w:tcW w:w="828" w:type="pct"/>
          </w:tcPr>
          <w:p w14:paraId="7A874709" w14:textId="77777777" w:rsidR="001C7948" w:rsidRPr="006B5FB9" w:rsidRDefault="001C7948" w:rsidP="003D64B1">
            <w:pPr>
              <w:jc w:val="both"/>
              <w:rPr>
                <w:sz w:val="22"/>
                <w:szCs w:val="22"/>
              </w:rPr>
            </w:pPr>
            <w:r w:rsidRPr="006B5FB9">
              <w:rPr>
                <w:sz w:val="22"/>
                <w:szCs w:val="22"/>
              </w:rPr>
              <w:t>Varenicline</w:t>
            </w:r>
          </w:p>
        </w:tc>
        <w:tc>
          <w:tcPr>
            <w:tcW w:w="621" w:type="pct"/>
          </w:tcPr>
          <w:p w14:paraId="32BD2526" w14:textId="77777777" w:rsidR="001C7948" w:rsidRPr="006B5FB9" w:rsidRDefault="001C7948" w:rsidP="003D64B1">
            <w:pPr>
              <w:jc w:val="both"/>
              <w:rPr>
                <w:sz w:val="22"/>
                <w:szCs w:val="22"/>
              </w:rPr>
            </w:pPr>
            <w:r w:rsidRPr="006B5FB9">
              <w:rPr>
                <w:sz w:val="22"/>
                <w:szCs w:val="22"/>
              </w:rPr>
              <w:t>N07BA03</w:t>
            </w:r>
          </w:p>
        </w:tc>
        <w:tc>
          <w:tcPr>
            <w:tcW w:w="938" w:type="pct"/>
          </w:tcPr>
          <w:p w14:paraId="1D46E678" w14:textId="77777777" w:rsidR="001C7948" w:rsidRPr="006B5FB9" w:rsidRDefault="001C7948" w:rsidP="006B5FB9">
            <w:pPr>
              <w:rPr>
                <w:sz w:val="22"/>
                <w:szCs w:val="22"/>
              </w:rPr>
            </w:pPr>
            <w:r w:rsidRPr="006B5FB9">
              <w:rPr>
                <w:sz w:val="22"/>
                <w:szCs w:val="22"/>
              </w:rPr>
              <w:t>Drugs used in nicotine dependence</w:t>
            </w:r>
          </w:p>
        </w:tc>
        <w:tc>
          <w:tcPr>
            <w:tcW w:w="1362" w:type="pct"/>
          </w:tcPr>
          <w:p w14:paraId="44043DE5" w14:textId="77777777" w:rsidR="001C7948" w:rsidRPr="006B5FB9" w:rsidRDefault="001C7948" w:rsidP="006B5FB9">
            <w:pPr>
              <w:rPr>
                <w:sz w:val="22"/>
                <w:szCs w:val="22"/>
              </w:rPr>
            </w:pPr>
            <w:r w:rsidRPr="006B5FB9">
              <w:rPr>
                <w:sz w:val="22"/>
                <w:szCs w:val="22"/>
              </w:rPr>
              <w:t xml:space="preserve">Varenicline is indicated as an aid for smoking cessation in adults [1] </w:t>
            </w:r>
          </w:p>
        </w:tc>
        <w:tc>
          <w:tcPr>
            <w:tcW w:w="1251" w:type="pct"/>
          </w:tcPr>
          <w:p w14:paraId="71C74BC9" w14:textId="77777777" w:rsidR="001C7948" w:rsidRPr="006B5FB9" w:rsidRDefault="001C7948" w:rsidP="006B5FB9">
            <w:pPr>
              <w:rPr>
                <w:sz w:val="22"/>
                <w:szCs w:val="22"/>
              </w:rPr>
            </w:pPr>
            <w:r w:rsidRPr="006B5FB9">
              <w:rPr>
                <w:sz w:val="22"/>
                <w:szCs w:val="22"/>
              </w:rPr>
              <w:t>1 Jan 2008</w:t>
            </w:r>
          </w:p>
        </w:tc>
      </w:tr>
      <w:tr w:rsidR="001C7948" w:rsidRPr="006B5FB9" w14:paraId="01631DE1" w14:textId="77777777" w:rsidTr="006B5FB9">
        <w:tc>
          <w:tcPr>
            <w:tcW w:w="828" w:type="pct"/>
          </w:tcPr>
          <w:p w14:paraId="4C15EF2F" w14:textId="77777777" w:rsidR="001C7948" w:rsidRPr="006B5FB9" w:rsidRDefault="001C7948" w:rsidP="003D64B1">
            <w:pPr>
              <w:jc w:val="both"/>
              <w:rPr>
                <w:sz w:val="22"/>
                <w:szCs w:val="22"/>
              </w:rPr>
            </w:pPr>
            <w:r w:rsidRPr="006B5FB9">
              <w:rPr>
                <w:sz w:val="22"/>
                <w:szCs w:val="22"/>
              </w:rPr>
              <w:t>Nicotine Replacement Therapy (NRT)</w:t>
            </w:r>
          </w:p>
        </w:tc>
        <w:tc>
          <w:tcPr>
            <w:tcW w:w="621" w:type="pct"/>
          </w:tcPr>
          <w:p w14:paraId="0085A975" w14:textId="77777777" w:rsidR="001C7948" w:rsidRPr="006B5FB9" w:rsidRDefault="001C7948" w:rsidP="003D64B1">
            <w:pPr>
              <w:jc w:val="both"/>
              <w:rPr>
                <w:sz w:val="22"/>
                <w:szCs w:val="22"/>
              </w:rPr>
            </w:pPr>
            <w:r w:rsidRPr="006B5FB9">
              <w:rPr>
                <w:sz w:val="22"/>
                <w:szCs w:val="22"/>
              </w:rPr>
              <w:t>N07BA01</w:t>
            </w:r>
          </w:p>
        </w:tc>
        <w:tc>
          <w:tcPr>
            <w:tcW w:w="938" w:type="pct"/>
          </w:tcPr>
          <w:p w14:paraId="22C296A4" w14:textId="77777777" w:rsidR="001C7948" w:rsidRPr="006B5FB9" w:rsidRDefault="001C7948" w:rsidP="006B5FB9">
            <w:pPr>
              <w:rPr>
                <w:sz w:val="22"/>
                <w:szCs w:val="22"/>
              </w:rPr>
            </w:pPr>
            <w:r w:rsidRPr="006B5FB9">
              <w:rPr>
                <w:sz w:val="22"/>
                <w:szCs w:val="22"/>
              </w:rPr>
              <w:t>Drugs used in nicotine dependence</w:t>
            </w:r>
          </w:p>
        </w:tc>
        <w:tc>
          <w:tcPr>
            <w:tcW w:w="1362" w:type="pct"/>
          </w:tcPr>
          <w:p w14:paraId="1E19E0B5" w14:textId="77777777" w:rsidR="001C7948" w:rsidRPr="006B5FB9" w:rsidRDefault="001C7948" w:rsidP="006B5FB9">
            <w:pPr>
              <w:rPr>
                <w:sz w:val="22"/>
                <w:szCs w:val="22"/>
              </w:rPr>
            </w:pPr>
            <w:r w:rsidRPr="006B5FB9">
              <w:rPr>
                <w:sz w:val="22"/>
                <w:szCs w:val="22"/>
              </w:rPr>
              <w:t>NRT is indicated for treatment of nicotine dependence, as an aid to smoking cessation [2]</w:t>
            </w:r>
          </w:p>
        </w:tc>
        <w:tc>
          <w:tcPr>
            <w:tcW w:w="1251" w:type="pct"/>
          </w:tcPr>
          <w:p w14:paraId="61CE3789" w14:textId="77777777" w:rsidR="009B53E8" w:rsidRPr="006B5FB9" w:rsidRDefault="001C7948" w:rsidP="00DC5105">
            <w:pPr>
              <w:spacing w:after="0"/>
              <w:rPr>
                <w:sz w:val="22"/>
                <w:szCs w:val="22"/>
              </w:rPr>
            </w:pPr>
            <w:r w:rsidRPr="006B5FB9">
              <w:rPr>
                <w:sz w:val="22"/>
                <w:szCs w:val="22"/>
              </w:rPr>
              <w:t>1 Dec 2008 (Aboriginal and Torres Strait Islander population)</w:t>
            </w:r>
          </w:p>
          <w:p w14:paraId="3F3578AB" w14:textId="77777777" w:rsidR="001C7948" w:rsidRPr="006B5FB9" w:rsidRDefault="001C7948" w:rsidP="006B5FB9">
            <w:pPr>
              <w:rPr>
                <w:sz w:val="22"/>
                <w:szCs w:val="22"/>
              </w:rPr>
            </w:pPr>
            <w:r w:rsidRPr="006B5FB9">
              <w:rPr>
                <w:sz w:val="22"/>
                <w:szCs w:val="22"/>
              </w:rPr>
              <w:t>1 Feb 2011 (general population)</w:t>
            </w:r>
          </w:p>
        </w:tc>
      </w:tr>
      <w:tr w:rsidR="001C7948" w:rsidRPr="006B5FB9" w14:paraId="1464F0DB" w14:textId="77777777" w:rsidTr="006B5FB9">
        <w:tc>
          <w:tcPr>
            <w:tcW w:w="828" w:type="pct"/>
          </w:tcPr>
          <w:p w14:paraId="527DE77A" w14:textId="77777777" w:rsidR="001C7948" w:rsidRPr="006B5FB9" w:rsidRDefault="001C7948" w:rsidP="003D64B1">
            <w:pPr>
              <w:jc w:val="both"/>
              <w:rPr>
                <w:sz w:val="22"/>
                <w:szCs w:val="22"/>
              </w:rPr>
            </w:pPr>
            <w:r w:rsidRPr="006B5FB9">
              <w:rPr>
                <w:sz w:val="22"/>
                <w:szCs w:val="22"/>
              </w:rPr>
              <w:t>Bupropion</w:t>
            </w:r>
          </w:p>
        </w:tc>
        <w:tc>
          <w:tcPr>
            <w:tcW w:w="621" w:type="pct"/>
          </w:tcPr>
          <w:p w14:paraId="432609A4" w14:textId="77777777" w:rsidR="001C7948" w:rsidRPr="006B5FB9" w:rsidRDefault="001C7948" w:rsidP="003D64B1">
            <w:pPr>
              <w:jc w:val="both"/>
              <w:rPr>
                <w:sz w:val="22"/>
                <w:szCs w:val="22"/>
              </w:rPr>
            </w:pPr>
            <w:r w:rsidRPr="006B5FB9">
              <w:rPr>
                <w:sz w:val="22"/>
                <w:szCs w:val="22"/>
              </w:rPr>
              <w:t>N0</w:t>
            </w:r>
            <w:r w:rsidR="00F602A5" w:rsidRPr="006B5FB9">
              <w:rPr>
                <w:sz w:val="22"/>
                <w:szCs w:val="22"/>
              </w:rPr>
              <w:t>7BA</w:t>
            </w:r>
          </w:p>
        </w:tc>
        <w:tc>
          <w:tcPr>
            <w:tcW w:w="938" w:type="pct"/>
          </w:tcPr>
          <w:p w14:paraId="254CA11C" w14:textId="77777777" w:rsidR="001C7948" w:rsidRPr="006B5FB9" w:rsidRDefault="001C7948" w:rsidP="006B5FB9">
            <w:pPr>
              <w:rPr>
                <w:sz w:val="22"/>
                <w:szCs w:val="22"/>
              </w:rPr>
            </w:pPr>
            <w:r w:rsidRPr="006B5FB9">
              <w:rPr>
                <w:sz w:val="22"/>
                <w:szCs w:val="22"/>
              </w:rPr>
              <w:t>Antidepressant</w:t>
            </w:r>
          </w:p>
        </w:tc>
        <w:tc>
          <w:tcPr>
            <w:tcW w:w="1362" w:type="pct"/>
          </w:tcPr>
          <w:p w14:paraId="07CD826C" w14:textId="77777777" w:rsidR="001C7948" w:rsidRPr="006B5FB9" w:rsidRDefault="001C7948" w:rsidP="006B5FB9">
            <w:pPr>
              <w:rPr>
                <w:sz w:val="22"/>
                <w:szCs w:val="22"/>
              </w:rPr>
            </w:pPr>
            <w:r w:rsidRPr="006B5FB9">
              <w:rPr>
                <w:sz w:val="22"/>
                <w:szCs w:val="22"/>
              </w:rPr>
              <w:t>Bupropion is indicated as a short-term adjunctive therapy for the treatment of nicotine dependence in those who are committed to quitting smoking [3]</w:t>
            </w:r>
          </w:p>
        </w:tc>
        <w:tc>
          <w:tcPr>
            <w:tcW w:w="1251" w:type="pct"/>
          </w:tcPr>
          <w:p w14:paraId="72111524" w14:textId="77777777" w:rsidR="001C7948" w:rsidRPr="006B5FB9" w:rsidRDefault="001C7948" w:rsidP="006B5FB9">
            <w:pPr>
              <w:rPr>
                <w:sz w:val="22"/>
                <w:szCs w:val="22"/>
              </w:rPr>
            </w:pPr>
            <w:r w:rsidRPr="006B5FB9">
              <w:rPr>
                <w:sz w:val="22"/>
                <w:szCs w:val="22"/>
              </w:rPr>
              <w:t>August 2000</w:t>
            </w:r>
          </w:p>
        </w:tc>
      </w:tr>
    </w:tbl>
    <w:p w14:paraId="73404856" w14:textId="5AE5BEAC" w:rsidR="00847FD3" w:rsidRPr="00847FD3" w:rsidRDefault="00486248" w:rsidP="00847FD3">
      <w:pPr>
        <w:pStyle w:val="Heading3"/>
        <w:rPr>
          <w:rFonts w:asciiTheme="minorHAnsi" w:eastAsiaTheme="majorEastAsia" w:hAnsiTheme="minorHAnsi" w:cstheme="minorHAnsi"/>
          <w:b/>
          <w:i/>
          <w:sz w:val="28"/>
          <w:szCs w:val="28"/>
        </w:rPr>
      </w:pPr>
      <w:bookmarkStart w:id="37" w:name="_Toc72840894"/>
      <w:r>
        <w:rPr>
          <w:rFonts w:asciiTheme="minorHAnsi" w:eastAsiaTheme="majorEastAsia" w:hAnsiTheme="minorHAnsi" w:cstheme="minorHAnsi"/>
          <w:b/>
          <w:i/>
          <w:sz w:val="28"/>
          <w:szCs w:val="28"/>
        </w:rPr>
        <w:t>2.3</w:t>
      </w:r>
      <w:r w:rsidR="0061661B" w:rsidRPr="00847FD3">
        <w:rPr>
          <w:rFonts w:asciiTheme="minorHAnsi" w:eastAsiaTheme="majorEastAsia" w:hAnsiTheme="minorHAnsi" w:cstheme="minorHAnsi"/>
          <w:b/>
          <w:i/>
          <w:sz w:val="28"/>
          <w:szCs w:val="28"/>
        </w:rPr>
        <w:t xml:space="preserve">.2 </w:t>
      </w:r>
      <w:r w:rsidR="00032349" w:rsidRPr="00847FD3">
        <w:rPr>
          <w:rFonts w:asciiTheme="minorHAnsi" w:eastAsiaTheme="majorEastAsia" w:hAnsiTheme="minorHAnsi" w:cstheme="minorHAnsi"/>
          <w:b/>
          <w:i/>
          <w:sz w:val="28"/>
          <w:szCs w:val="28"/>
        </w:rPr>
        <w:t>Methods</w:t>
      </w:r>
      <w:bookmarkEnd w:id="37"/>
      <w:r w:rsidR="00032349" w:rsidRPr="00847FD3">
        <w:rPr>
          <w:rFonts w:asciiTheme="minorHAnsi" w:eastAsiaTheme="majorEastAsia" w:hAnsiTheme="minorHAnsi" w:cstheme="minorHAnsi"/>
          <w:b/>
          <w:i/>
          <w:sz w:val="28"/>
          <w:szCs w:val="28"/>
        </w:rPr>
        <w:t xml:space="preserve"> </w:t>
      </w:r>
    </w:p>
    <w:p w14:paraId="53DA368C" w14:textId="77777777" w:rsidR="001C7948" w:rsidRPr="00D15E9A" w:rsidRDefault="001C7948" w:rsidP="00D15E9A">
      <w:pPr>
        <w:rPr>
          <w:b/>
          <w:bCs/>
        </w:rPr>
      </w:pPr>
      <w:r w:rsidRPr="00D15E9A">
        <w:rPr>
          <w:b/>
          <w:bCs/>
        </w:rPr>
        <w:t xml:space="preserve">1) Overall trends in utilisation and cost of smoking cessation medicines in Australia </w:t>
      </w:r>
    </w:p>
    <w:p w14:paraId="756B6AE7" w14:textId="77777777" w:rsidR="001C7948" w:rsidRDefault="001C7948" w:rsidP="003D64B1">
      <w:pPr>
        <w:jc w:val="both"/>
        <w:rPr>
          <w:rFonts w:cstheme="minorHAnsi"/>
        </w:rPr>
      </w:pPr>
      <w:r>
        <w:rPr>
          <w:rFonts w:cstheme="minorHAnsi"/>
        </w:rPr>
        <w:t>Annual</w:t>
      </w:r>
      <w:r w:rsidRPr="00943FD7">
        <w:rPr>
          <w:rFonts w:cstheme="minorHAnsi"/>
        </w:rPr>
        <w:t xml:space="preserve"> trends of all prescription</w:t>
      </w:r>
      <w:r>
        <w:rPr>
          <w:rFonts w:cstheme="minorHAnsi"/>
        </w:rPr>
        <w:t>s</w:t>
      </w:r>
      <w:r w:rsidRPr="00943FD7">
        <w:rPr>
          <w:rFonts w:cstheme="minorHAnsi"/>
        </w:rPr>
        <w:t xml:space="preserve"> dispensed and the government benefits paid for the specified medicines </w:t>
      </w:r>
      <w:r>
        <w:rPr>
          <w:rFonts w:cstheme="minorHAnsi"/>
        </w:rPr>
        <w:t xml:space="preserve">under the </w:t>
      </w:r>
      <w:r w:rsidR="00A706C0">
        <w:rPr>
          <w:rFonts w:cstheme="minorHAnsi"/>
        </w:rPr>
        <w:t>R/</w:t>
      </w:r>
      <w:r>
        <w:rPr>
          <w:rFonts w:cstheme="minorHAnsi"/>
        </w:rPr>
        <w:t>PBS in</w:t>
      </w:r>
      <w:r w:rsidRPr="00943FD7">
        <w:rPr>
          <w:rFonts w:cstheme="minorHAnsi"/>
        </w:rPr>
        <w:t xml:space="preserve"> </w:t>
      </w:r>
      <w:r w:rsidR="00F602A5">
        <w:rPr>
          <w:rFonts w:cstheme="minorHAnsi"/>
        </w:rPr>
        <w:t>financial years</w:t>
      </w:r>
      <w:r w:rsidRPr="00943FD7">
        <w:rPr>
          <w:rFonts w:cstheme="minorHAnsi"/>
        </w:rPr>
        <w:t xml:space="preserve"> 20</w:t>
      </w:r>
      <w:r w:rsidR="00F602A5">
        <w:rPr>
          <w:rFonts w:cstheme="minorHAnsi"/>
        </w:rPr>
        <w:t>10/2011</w:t>
      </w:r>
      <w:r w:rsidRPr="00943FD7">
        <w:rPr>
          <w:rFonts w:cstheme="minorHAnsi"/>
        </w:rPr>
        <w:t xml:space="preserve"> to 2019</w:t>
      </w:r>
      <w:r w:rsidR="00F602A5">
        <w:rPr>
          <w:rFonts w:cstheme="minorHAnsi"/>
        </w:rPr>
        <w:t>/2020</w:t>
      </w:r>
      <w:r w:rsidRPr="00943FD7">
        <w:rPr>
          <w:rFonts w:cstheme="minorHAnsi"/>
        </w:rPr>
        <w:t xml:space="preserve"> </w:t>
      </w:r>
      <w:r>
        <w:rPr>
          <w:rFonts w:cstheme="minorHAnsi"/>
        </w:rPr>
        <w:t>are</w:t>
      </w:r>
      <w:r w:rsidRPr="00943FD7">
        <w:rPr>
          <w:rFonts w:cstheme="minorHAnsi"/>
        </w:rPr>
        <w:t xml:space="preserve"> </w:t>
      </w:r>
      <w:r>
        <w:rPr>
          <w:rFonts w:cstheme="minorHAnsi"/>
        </w:rPr>
        <w:t>reported</w:t>
      </w:r>
      <w:r w:rsidRPr="00943FD7">
        <w:rPr>
          <w:rFonts w:cstheme="minorHAnsi"/>
        </w:rPr>
        <w:t xml:space="preserve">. </w:t>
      </w:r>
      <w:r>
        <w:rPr>
          <w:rFonts w:cstheme="minorHAnsi"/>
        </w:rPr>
        <w:t xml:space="preserve"> C</w:t>
      </w:r>
      <w:r w:rsidRPr="00240E37">
        <w:rPr>
          <w:rFonts w:cstheme="minorHAnsi"/>
        </w:rPr>
        <w:t>onsumer co-payments for the relevant time periods we</w:t>
      </w:r>
      <w:r>
        <w:rPr>
          <w:rFonts w:cstheme="minorHAnsi"/>
        </w:rPr>
        <w:t>re</w:t>
      </w:r>
      <w:r w:rsidRPr="00240E37">
        <w:rPr>
          <w:rFonts w:cstheme="minorHAnsi"/>
        </w:rPr>
        <w:t xml:space="preserve"> </w:t>
      </w:r>
      <w:r>
        <w:rPr>
          <w:rFonts w:cstheme="minorHAnsi"/>
        </w:rPr>
        <w:t xml:space="preserve">used to </w:t>
      </w:r>
      <w:r w:rsidRPr="00240E37">
        <w:rPr>
          <w:rFonts w:cstheme="minorHAnsi"/>
        </w:rPr>
        <w:t>estimate total PBS costs.</w:t>
      </w:r>
    </w:p>
    <w:p w14:paraId="34F11C26" w14:textId="685427FE" w:rsidR="001C7948" w:rsidRDefault="001C7948" w:rsidP="003D64B1">
      <w:pPr>
        <w:jc w:val="both"/>
        <w:rPr>
          <w:rFonts w:ascii="Calibri" w:eastAsia="Times New Roman" w:hAnsi="Calibri" w:cs="Times New Roman"/>
          <w:color w:val="000000"/>
        </w:rPr>
      </w:pPr>
      <w:r>
        <w:rPr>
          <w:rFonts w:cstheme="minorHAnsi"/>
        </w:rPr>
        <w:t xml:space="preserve">The cost of all NRT products sold </w:t>
      </w:r>
      <w:r w:rsidR="0067583B">
        <w:rPr>
          <w:rFonts w:cstheme="minorHAnsi"/>
        </w:rPr>
        <w:t>OTC</w:t>
      </w:r>
      <w:r>
        <w:rPr>
          <w:rFonts w:cstheme="minorHAnsi"/>
        </w:rPr>
        <w:t xml:space="preserve"> were extracted from Euromonitor </w:t>
      </w:r>
      <w:r w:rsidRPr="00943FD7">
        <w:rPr>
          <w:rFonts w:ascii="Calibri" w:eastAsia="Times New Roman" w:hAnsi="Calibri" w:cs="Times New Roman"/>
          <w:color w:val="000000"/>
        </w:rPr>
        <w:t xml:space="preserve">International </w:t>
      </w:r>
      <w:r>
        <w:rPr>
          <w:rFonts w:ascii="Calibri" w:eastAsia="Times New Roman" w:hAnsi="Calibri" w:cs="Times New Roman"/>
          <w:color w:val="000000"/>
        </w:rPr>
        <w:t>report on</w:t>
      </w:r>
      <w:r w:rsidRPr="00943FD7">
        <w:rPr>
          <w:rFonts w:ascii="Calibri" w:eastAsia="Times New Roman" w:hAnsi="Calibri" w:cs="Times New Roman"/>
          <w:color w:val="000000"/>
        </w:rPr>
        <w:t xml:space="preserve"> NRT Smoking cessation aids in Australia</w:t>
      </w:r>
      <w:r w:rsidR="00B578BD">
        <w:rPr>
          <w:rFonts w:ascii="Calibri" w:eastAsia="Times New Roman" w:hAnsi="Calibri" w:cs="Times New Roman"/>
          <w:color w:val="000000"/>
        </w:rPr>
        <w:t xml:space="preserve"> [4]</w:t>
      </w:r>
      <w:r>
        <w:rPr>
          <w:rFonts w:ascii="Calibri" w:eastAsia="Times New Roman" w:hAnsi="Calibri" w:cs="Times New Roman"/>
          <w:color w:val="000000"/>
        </w:rPr>
        <w:t>.</w:t>
      </w:r>
    </w:p>
    <w:p w14:paraId="20D1BDF1" w14:textId="77777777" w:rsidR="001C7948" w:rsidRPr="00943FD7" w:rsidRDefault="001C7948" w:rsidP="003D64B1">
      <w:pPr>
        <w:jc w:val="both"/>
        <w:rPr>
          <w:rFonts w:ascii="Calibri" w:eastAsia="Times New Roman" w:hAnsi="Calibri" w:cs="Times New Roman"/>
          <w:color w:val="000000"/>
        </w:rPr>
      </w:pPr>
      <w:r w:rsidRPr="00240E37">
        <w:rPr>
          <w:rFonts w:ascii="Calibri" w:eastAsia="Times New Roman" w:hAnsi="Calibri" w:cs="Times New Roman"/>
          <w:color w:val="000000"/>
        </w:rPr>
        <w:t xml:space="preserve">The proportion of the overall </w:t>
      </w:r>
      <w:r w:rsidR="003744C2">
        <w:rPr>
          <w:rFonts w:ascii="Calibri" w:eastAsia="Times New Roman" w:hAnsi="Calibri" w:cs="Times New Roman"/>
          <w:color w:val="000000"/>
        </w:rPr>
        <w:t xml:space="preserve">NRT </w:t>
      </w:r>
      <w:r w:rsidRPr="00240E37">
        <w:rPr>
          <w:rFonts w:ascii="Calibri" w:eastAsia="Times New Roman" w:hAnsi="Calibri" w:cs="Times New Roman"/>
          <w:color w:val="000000"/>
        </w:rPr>
        <w:t>market represented by the PBS w</w:t>
      </w:r>
      <w:r>
        <w:rPr>
          <w:rFonts w:ascii="Calibri" w:eastAsia="Times New Roman" w:hAnsi="Calibri" w:cs="Times New Roman"/>
          <w:color w:val="000000"/>
        </w:rPr>
        <w:t>as</w:t>
      </w:r>
      <w:r w:rsidRPr="00240E37">
        <w:rPr>
          <w:rFonts w:ascii="Calibri" w:eastAsia="Times New Roman" w:hAnsi="Calibri" w:cs="Times New Roman"/>
          <w:color w:val="000000"/>
        </w:rPr>
        <w:t xml:space="preserve"> estimated based on the differences in costs between total PBS costs</w:t>
      </w:r>
      <w:r w:rsidR="006B5FB9">
        <w:rPr>
          <w:rFonts w:ascii="Calibri" w:eastAsia="Times New Roman" w:hAnsi="Calibri" w:cs="Times New Roman"/>
          <w:color w:val="000000"/>
        </w:rPr>
        <w:t xml:space="preserve"> (including consumer co</w:t>
      </w:r>
      <w:r w:rsidR="00A706C0">
        <w:rPr>
          <w:rFonts w:ascii="Calibri" w:eastAsia="Times New Roman" w:hAnsi="Calibri" w:cs="Times New Roman"/>
          <w:color w:val="000000"/>
        </w:rPr>
        <w:t>-</w:t>
      </w:r>
      <w:r w:rsidR="006B5FB9">
        <w:rPr>
          <w:rFonts w:ascii="Calibri" w:eastAsia="Times New Roman" w:hAnsi="Calibri" w:cs="Times New Roman"/>
          <w:color w:val="000000"/>
        </w:rPr>
        <w:t>payments)</w:t>
      </w:r>
      <w:r w:rsidRPr="00240E37">
        <w:rPr>
          <w:rFonts w:ascii="Calibri" w:eastAsia="Times New Roman" w:hAnsi="Calibri" w:cs="Times New Roman"/>
          <w:color w:val="000000"/>
        </w:rPr>
        <w:t xml:space="preserve"> and the costs reported in the Euromonitor report.</w:t>
      </w:r>
    </w:p>
    <w:p w14:paraId="29707BC0" w14:textId="77777777" w:rsidR="001C7948" w:rsidRPr="00D15E9A" w:rsidRDefault="001C7948" w:rsidP="00D15E9A">
      <w:pPr>
        <w:rPr>
          <w:b/>
          <w:bCs/>
        </w:rPr>
      </w:pPr>
      <w:r w:rsidRPr="00D15E9A">
        <w:rPr>
          <w:b/>
          <w:bCs/>
        </w:rPr>
        <w:t xml:space="preserve">2) Prevalent and incident population treated with PBS listed medicines for smoking cessation </w:t>
      </w:r>
      <w:r w:rsidR="0080259F">
        <w:rPr>
          <w:b/>
          <w:bCs/>
        </w:rPr>
        <w:t xml:space="preserve">and population characteristics </w:t>
      </w:r>
    </w:p>
    <w:p w14:paraId="5B484D3D" w14:textId="77777777" w:rsidR="001C7948" w:rsidRDefault="001C7948" w:rsidP="003D64B1">
      <w:pPr>
        <w:jc w:val="both"/>
        <w:rPr>
          <w:rFonts w:eastAsia="Calibri" w:cs="Times New Roman"/>
        </w:rPr>
      </w:pPr>
      <w:r>
        <w:t>Prevalent trends: t</w:t>
      </w:r>
      <w:r w:rsidRPr="009C1E36">
        <w:t>he number of p</w:t>
      </w:r>
      <w:r>
        <w:t>eople</w:t>
      </w:r>
      <w:r w:rsidRPr="009C1E36">
        <w:t xml:space="preserve"> in each </w:t>
      </w:r>
      <w:r w:rsidR="00C47688">
        <w:t xml:space="preserve">financial </w:t>
      </w:r>
      <w:r w:rsidRPr="009C1E36">
        <w:t>year from 20</w:t>
      </w:r>
      <w:r>
        <w:t>1</w:t>
      </w:r>
      <w:r w:rsidR="00C47688">
        <w:t>0/2011</w:t>
      </w:r>
      <w:r w:rsidRPr="009C1E36">
        <w:t xml:space="preserve"> to 201</w:t>
      </w:r>
      <w:r>
        <w:t>9</w:t>
      </w:r>
      <w:r w:rsidR="00C47688">
        <w:t>/2020</w:t>
      </w:r>
      <w:r w:rsidRPr="009C1E36">
        <w:t xml:space="preserve"> </w:t>
      </w:r>
      <w:r>
        <w:t xml:space="preserve">was </w:t>
      </w:r>
      <w:r w:rsidRPr="009C1E36">
        <w:t xml:space="preserve">determined by </w:t>
      </w:r>
      <w:r w:rsidRPr="000D460F">
        <w:rPr>
          <w:rFonts w:eastAsia="Calibri" w:cs="Times New Roman"/>
        </w:rPr>
        <w:t>counting the number of p</w:t>
      </w:r>
      <w:r>
        <w:rPr>
          <w:rFonts w:eastAsia="Calibri" w:cs="Times New Roman"/>
        </w:rPr>
        <w:t>eople</w:t>
      </w:r>
      <w:r w:rsidRPr="000D460F">
        <w:rPr>
          <w:rFonts w:eastAsia="Calibri" w:cs="Times New Roman"/>
        </w:rPr>
        <w:t xml:space="preserve"> </w:t>
      </w:r>
      <w:r>
        <w:rPr>
          <w:rFonts w:eastAsia="Calibri" w:cs="Times New Roman"/>
        </w:rPr>
        <w:t>who received at least one supply for any smoking cessation medicine in the given year. The results were stratified by the type of medicine</w:t>
      </w:r>
      <w:r w:rsidR="006C1C1A">
        <w:rPr>
          <w:rFonts w:eastAsia="Calibri" w:cs="Times New Roman"/>
        </w:rPr>
        <w:t xml:space="preserve"> and by </w:t>
      </w:r>
      <w:r w:rsidR="006B5FB9">
        <w:rPr>
          <w:rFonts w:eastAsia="Calibri" w:cs="Times New Roman"/>
        </w:rPr>
        <w:t xml:space="preserve">recipient </w:t>
      </w:r>
      <w:r w:rsidR="006C1C1A">
        <w:rPr>
          <w:rFonts w:eastAsia="Calibri" w:cs="Times New Roman"/>
        </w:rPr>
        <w:t>gender.</w:t>
      </w:r>
    </w:p>
    <w:p w14:paraId="7FC80ADA" w14:textId="6D9C5942" w:rsidR="001C7948" w:rsidRDefault="001C7948" w:rsidP="003D64B1">
      <w:r>
        <w:t>Incident trends</w:t>
      </w:r>
      <w:r w:rsidR="00AB39B2">
        <w:t xml:space="preserve"> 1</w:t>
      </w:r>
      <w:r>
        <w:t xml:space="preserve">: </w:t>
      </w:r>
      <w:r w:rsidRPr="00240E37">
        <w:t xml:space="preserve">the number of people who started smoking cessation therapy in each </w:t>
      </w:r>
      <w:r w:rsidR="00C47688">
        <w:t xml:space="preserve">financial </w:t>
      </w:r>
      <w:r w:rsidRPr="00240E37">
        <w:t>year from 20</w:t>
      </w:r>
      <w:r w:rsidR="00C47688">
        <w:t>1</w:t>
      </w:r>
      <w:r w:rsidR="00071C24">
        <w:t>1</w:t>
      </w:r>
      <w:r w:rsidR="00C47688">
        <w:t>/201</w:t>
      </w:r>
      <w:r w:rsidR="00071C24">
        <w:t>2</w:t>
      </w:r>
      <w:r w:rsidRPr="00240E37">
        <w:t xml:space="preserve"> to 2019</w:t>
      </w:r>
      <w:r w:rsidR="00C47688">
        <w:t>/2020</w:t>
      </w:r>
      <w:r w:rsidRPr="00240E37">
        <w:t xml:space="preserve"> w</w:t>
      </w:r>
      <w:r>
        <w:t>as</w:t>
      </w:r>
      <w:r w:rsidRPr="00240E37">
        <w:t xml:space="preserve"> determined based on a </w:t>
      </w:r>
      <w:r w:rsidR="00E415D9" w:rsidRPr="00240E37">
        <w:t>one-year</w:t>
      </w:r>
      <w:r w:rsidRPr="00240E37">
        <w:t xml:space="preserve"> period with no use</w:t>
      </w:r>
      <w:r w:rsidR="00C47688">
        <w:t xml:space="preserve"> (financial </w:t>
      </w:r>
      <w:r w:rsidR="006B5FB9">
        <w:t xml:space="preserve">year </w:t>
      </w:r>
      <w:r w:rsidR="00C47688">
        <w:t>2010/2011 was used as a baseline year)</w:t>
      </w:r>
      <w:r w:rsidRPr="00240E37">
        <w:t>.</w:t>
      </w:r>
      <w:r>
        <w:t xml:space="preserve"> </w:t>
      </w:r>
    </w:p>
    <w:p w14:paraId="38554A67" w14:textId="0A9EDAED" w:rsidR="00B0792F" w:rsidRDefault="00AB39B2" w:rsidP="00B0792F">
      <w:r>
        <w:t xml:space="preserve">Incidents trends 2: </w:t>
      </w:r>
      <w:r w:rsidR="002D61C4">
        <w:t>F</w:t>
      </w:r>
      <w:r w:rsidR="001C7948">
        <w:t xml:space="preserve">irst ever users were determined in each </w:t>
      </w:r>
      <w:r w:rsidR="00C47688">
        <w:t xml:space="preserve">financial </w:t>
      </w:r>
      <w:r w:rsidR="001C7948">
        <w:t>year from 20</w:t>
      </w:r>
      <w:r w:rsidR="00C47688">
        <w:t>1</w:t>
      </w:r>
      <w:r w:rsidR="004B251A">
        <w:t>0</w:t>
      </w:r>
      <w:r w:rsidR="00C47688">
        <w:t>/201</w:t>
      </w:r>
      <w:r w:rsidR="00071C24">
        <w:t>2</w:t>
      </w:r>
      <w:r w:rsidR="001C7948">
        <w:t xml:space="preserve"> to 2019</w:t>
      </w:r>
      <w:r w:rsidR="00C47688">
        <w:t>/2020</w:t>
      </w:r>
      <w:r w:rsidR="001C7948">
        <w:t xml:space="preserve"> by counting the number of people who had not been supplied a prescription for any smoking cessation medicine under the PBS </w:t>
      </w:r>
      <w:r w:rsidR="00D52917">
        <w:t xml:space="preserve">at </w:t>
      </w:r>
      <w:r w:rsidR="002240AC">
        <w:t>any time</w:t>
      </w:r>
      <w:r w:rsidR="00D52917">
        <w:t xml:space="preserve"> from the beginning of the data.</w:t>
      </w:r>
      <w:r w:rsidR="001C7948">
        <w:t xml:space="preserve"> </w:t>
      </w:r>
      <w:r w:rsidR="001C7948">
        <w:rPr>
          <w:rFonts w:eastAsia="Calibri" w:cs="Times New Roman"/>
        </w:rPr>
        <w:t>The results were stratified by the type of medicine at initiation</w:t>
      </w:r>
      <w:r w:rsidR="00CB5EC7">
        <w:rPr>
          <w:rFonts w:eastAsia="Calibri" w:cs="Times New Roman"/>
        </w:rPr>
        <w:t xml:space="preserve">, by age at initiation and by beneficiary status. </w:t>
      </w:r>
      <w:r w:rsidR="00B0792F">
        <w:t>The mean and median age and by gender was reported. Socio-economic status at initiation was determined based on a person’s postcode and the Australian Bureau of Statistics index of socio-economic disadvantage.</w:t>
      </w:r>
    </w:p>
    <w:p w14:paraId="3B1418FA" w14:textId="77777777" w:rsidR="001C7948" w:rsidRPr="00D15E9A" w:rsidRDefault="001C7948" w:rsidP="00D15E9A">
      <w:pPr>
        <w:rPr>
          <w:b/>
          <w:bCs/>
        </w:rPr>
      </w:pPr>
      <w:bookmarkStart w:id="38" w:name="_Toc43980740"/>
      <w:r w:rsidRPr="00D15E9A">
        <w:rPr>
          <w:b/>
          <w:bCs/>
        </w:rPr>
        <w:t>3) Treatment rates at national level and state level</w:t>
      </w:r>
      <w:bookmarkEnd w:id="38"/>
      <w:r w:rsidRPr="00D15E9A">
        <w:rPr>
          <w:b/>
          <w:bCs/>
        </w:rPr>
        <w:t xml:space="preserve"> base</w:t>
      </w:r>
      <w:r w:rsidR="00141886">
        <w:rPr>
          <w:b/>
          <w:bCs/>
        </w:rPr>
        <w:t>d</w:t>
      </w:r>
      <w:r w:rsidRPr="00D15E9A">
        <w:rPr>
          <w:b/>
          <w:bCs/>
        </w:rPr>
        <w:t xml:space="preserve"> on PBS data </w:t>
      </w:r>
    </w:p>
    <w:p w14:paraId="0D0EF435" w14:textId="77777777" w:rsidR="001C7948" w:rsidRDefault="001C7948" w:rsidP="001C7948">
      <w:pPr>
        <w:spacing w:after="120"/>
      </w:pPr>
      <w:r>
        <w:t>National</w:t>
      </w:r>
      <w:r w:rsidR="006B5FB9">
        <w:t>,</w:t>
      </w:r>
      <w:r>
        <w:t xml:space="preserve"> State and Territory treatment rates (people per 1000 population) of people initiating on and prevalent to smoking cessation medicines under the PBS were calculated as the number of initiating or prevalent people divided by population estimates provided by the Australian Bureau of Statistics (ABS) residential population</w:t>
      </w:r>
      <w:r w:rsidR="006B5FB9">
        <w:t xml:space="preserve"> estimates</w:t>
      </w:r>
      <w:r>
        <w:t xml:space="preserve"> in Australia as at 30 June in the given year</w:t>
      </w:r>
      <w:r w:rsidR="00A706C0">
        <w:t xml:space="preserve"> [5-13].</w:t>
      </w:r>
      <w:r>
        <w:t xml:space="preserve"> The rates were age-standardized to the age structure of the Australian national population at 30 June 2011.  </w:t>
      </w:r>
    </w:p>
    <w:p w14:paraId="11BB5060" w14:textId="77777777" w:rsidR="001C7948" w:rsidRPr="00D15E9A" w:rsidRDefault="001C7948" w:rsidP="00D15E9A">
      <w:pPr>
        <w:rPr>
          <w:b/>
          <w:bCs/>
        </w:rPr>
      </w:pPr>
      <w:bookmarkStart w:id="39" w:name="_Toc43980739"/>
      <w:r w:rsidRPr="00D15E9A">
        <w:rPr>
          <w:b/>
          <w:bCs/>
        </w:rPr>
        <w:t xml:space="preserve">4) </w:t>
      </w:r>
      <w:r w:rsidR="0080259F">
        <w:rPr>
          <w:b/>
          <w:bCs/>
        </w:rPr>
        <w:t>P</w:t>
      </w:r>
      <w:r w:rsidRPr="00D15E9A">
        <w:rPr>
          <w:b/>
          <w:bCs/>
        </w:rPr>
        <w:t>reval</w:t>
      </w:r>
      <w:r w:rsidR="0080259F">
        <w:rPr>
          <w:b/>
          <w:bCs/>
        </w:rPr>
        <w:t>ence</w:t>
      </w:r>
      <w:r w:rsidRPr="00D15E9A">
        <w:rPr>
          <w:b/>
          <w:bCs/>
        </w:rPr>
        <w:t xml:space="preserve"> </w:t>
      </w:r>
      <w:bookmarkEnd w:id="39"/>
      <w:r w:rsidR="00D97EBB">
        <w:rPr>
          <w:b/>
          <w:bCs/>
        </w:rPr>
        <w:t xml:space="preserve">of </w:t>
      </w:r>
      <w:r w:rsidRPr="00D15E9A">
        <w:rPr>
          <w:b/>
          <w:bCs/>
        </w:rPr>
        <w:t>smo</w:t>
      </w:r>
      <w:r w:rsidR="005F711D">
        <w:rPr>
          <w:b/>
          <w:bCs/>
        </w:rPr>
        <w:t>king cessation therapies under the PBS in</w:t>
      </w:r>
      <w:r w:rsidR="00D97EBB">
        <w:rPr>
          <w:b/>
          <w:bCs/>
        </w:rPr>
        <w:t xml:space="preserve"> </w:t>
      </w:r>
      <w:r w:rsidR="0080259F">
        <w:rPr>
          <w:b/>
          <w:bCs/>
        </w:rPr>
        <w:t>specific populations</w:t>
      </w:r>
    </w:p>
    <w:p w14:paraId="5A07326A" w14:textId="77777777" w:rsidR="005F711D" w:rsidRPr="005F711D" w:rsidRDefault="001C7948" w:rsidP="005F711D">
      <w:r w:rsidRPr="007E6285">
        <w:rPr>
          <w:rFonts w:cs="Times New Roman"/>
        </w:rPr>
        <w:t xml:space="preserve">For the prevalent population in each </w:t>
      </w:r>
      <w:r w:rsidR="005F711D">
        <w:rPr>
          <w:rFonts w:cs="Times New Roman"/>
        </w:rPr>
        <w:t xml:space="preserve">calendar </w:t>
      </w:r>
      <w:r w:rsidRPr="007E6285">
        <w:rPr>
          <w:rFonts w:cs="Times New Roman"/>
        </w:rPr>
        <w:t>year</w:t>
      </w:r>
      <w:r w:rsidR="005F711D">
        <w:rPr>
          <w:rFonts w:cs="Times New Roman"/>
        </w:rPr>
        <w:t>, e</w:t>
      </w:r>
      <w:r w:rsidRPr="005F711D">
        <w:t xml:space="preserve">stimates of use among specific populations of interest were presented as </w:t>
      </w:r>
      <w:r w:rsidR="005F711D" w:rsidRPr="005F711D">
        <w:t xml:space="preserve">the proportion of people in the smoking cessation therapy population who are estimated to be in the population of interest (i.e. the smoking cessation population is the denominator).  </w:t>
      </w:r>
    </w:p>
    <w:p w14:paraId="6125E78B" w14:textId="77777777" w:rsidR="001C7948" w:rsidRPr="00240E37" w:rsidRDefault="001C7948" w:rsidP="006B5FB9">
      <w:pPr>
        <w:spacing w:after="0"/>
      </w:pPr>
      <w:r w:rsidRPr="00240E37">
        <w:t>Populations of interest w</w:t>
      </w:r>
      <w:r>
        <w:t>ere</w:t>
      </w:r>
      <w:r w:rsidRPr="00240E37">
        <w:t xml:space="preserve"> defined as: </w:t>
      </w:r>
    </w:p>
    <w:p w14:paraId="0630B3F0" w14:textId="77777777" w:rsidR="001C7948" w:rsidRPr="00DC5084" w:rsidRDefault="001C7948" w:rsidP="005F711D">
      <w:pPr>
        <w:pStyle w:val="ListParagraph"/>
        <w:numPr>
          <w:ilvl w:val="2"/>
          <w:numId w:val="3"/>
        </w:numPr>
        <w:spacing w:after="200"/>
        <w:ind w:left="426"/>
        <w:rPr>
          <w:rFonts w:asciiTheme="minorHAnsi" w:hAnsiTheme="minorHAnsi"/>
        </w:rPr>
      </w:pPr>
      <w:r w:rsidRPr="00DC5084">
        <w:rPr>
          <w:rFonts w:asciiTheme="minorHAnsi" w:hAnsiTheme="minorHAnsi"/>
        </w:rPr>
        <w:t xml:space="preserve">the population at risk of </w:t>
      </w:r>
      <w:r w:rsidR="00824DD7">
        <w:rPr>
          <w:rFonts w:asciiTheme="minorHAnsi" w:hAnsiTheme="minorHAnsi"/>
        </w:rPr>
        <w:t>alcohol</w:t>
      </w:r>
      <w:r w:rsidRPr="00DC5084">
        <w:rPr>
          <w:rFonts w:asciiTheme="minorHAnsi" w:hAnsiTheme="minorHAnsi"/>
        </w:rPr>
        <w:t xml:space="preserve"> abuse (persons with at least one dispensing of a medicine subsidised for alcohol addiction, </w:t>
      </w:r>
      <w:r w:rsidR="0084256C">
        <w:rPr>
          <w:rFonts w:asciiTheme="minorHAnsi" w:hAnsiTheme="minorHAnsi"/>
        </w:rPr>
        <w:t xml:space="preserve">ATC code </w:t>
      </w:r>
      <w:r w:rsidRPr="00DC5084">
        <w:rPr>
          <w:rFonts w:asciiTheme="minorHAnsi" w:hAnsiTheme="minorHAnsi"/>
        </w:rPr>
        <w:t>N07B</w:t>
      </w:r>
      <w:r w:rsidR="005F711D">
        <w:rPr>
          <w:rFonts w:asciiTheme="minorHAnsi" w:hAnsiTheme="minorHAnsi"/>
        </w:rPr>
        <w:t>B</w:t>
      </w:r>
      <w:r w:rsidRPr="00DC5084">
        <w:rPr>
          <w:rFonts w:asciiTheme="minorHAnsi" w:hAnsiTheme="minorHAnsi"/>
        </w:rPr>
        <w:t xml:space="preserve">) </w:t>
      </w:r>
    </w:p>
    <w:p w14:paraId="1573BC02" w14:textId="77777777" w:rsidR="001C7948" w:rsidRPr="00DC5084" w:rsidRDefault="001C7948" w:rsidP="005F711D">
      <w:pPr>
        <w:pStyle w:val="ListParagraph"/>
        <w:numPr>
          <w:ilvl w:val="2"/>
          <w:numId w:val="3"/>
        </w:numPr>
        <w:spacing w:after="200"/>
        <w:ind w:left="426"/>
        <w:rPr>
          <w:rFonts w:asciiTheme="minorHAnsi" w:hAnsiTheme="minorHAnsi"/>
        </w:rPr>
      </w:pPr>
      <w:r w:rsidRPr="00DC5084">
        <w:rPr>
          <w:rFonts w:asciiTheme="minorHAnsi" w:hAnsiTheme="minorHAnsi"/>
        </w:rPr>
        <w:t xml:space="preserve">the population at risk of </w:t>
      </w:r>
      <w:r w:rsidR="00A30487">
        <w:rPr>
          <w:rFonts w:asciiTheme="minorHAnsi" w:hAnsiTheme="minorHAnsi"/>
        </w:rPr>
        <w:t>smoking related</w:t>
      </w:r>
      <w:r w:rsidRPr="00DC5084">
        <w:rPr>
          <w:rFonts w:asciiTheme="minorHAnsi" w:hAnsiTheme="minorHAnsi"/>
        </w:rPr>
        <w:t xml:space="preserve"> illness (a person with at least two dispensings of medicines for chronic respiratory disorders or chronic obstructive pulmonary disease (</w:t>
      </w:r>
      <w:r w:rsidR="0084256C">
        <w:rPr>
          <w:rFonts w:asciiTheme="minorHAnsi" w:hAnsiTheme="minorHAnsi"/>
        </w:rPr>
        <w:t xml:space="preserve">ATC code </w:t>
      </w:r>
      <w:r w:rsidRPr="00DC5084">
        <w:rPr>
          <w:rFonts w:asciiTheme="minorHAnsi" w:hAnsiTheme="minorHAnsi"/>
        </w:rPr>
        <w:t>R03 excluding salbutamol</w:t>
      </w:r>
      <w:r w:rsidR="0084256C">
        <w:rPr>
          <w:rFonts w:asciiTheme="minorHAnsi" w:hAnsiTheme="minorHAnsi"/>
        </w:rPr>
        <w:t>,</w:t>
      </w:r>
      <w:r w:rsidRPr="00DC5084">
        <w:rPr>
          <w:rFonts w:asciiTheme="minorHAnsi" w:hAnsiTheme="minorHAnsi"/>
        </w:rPr>
        <w:t xml:space="preserve"> terbutaline, </w:t>
      </w:r>
      <w:r w:rsidR="0084256C">
        <w:rPr>
          <w:rFonts w:asciiTheme="minorHAnsi" w:hAnsiTheme="minorHAnsi"/>
        </w:rPr>
        <w:t>cromogl</w:t>
      </w:r>
      <w:r w:rsidR="004303EE">
        <w:rPr>
          <w:rFonts w:asciiTheme="minorHAnsi" w:hAnsiTheme="minorHAnsi"/>
        </w:rPr>
        <w:t>ycate</w:t>
      </w:r>
      <w:r w:rsidR="0084256C">
        <w:rPr>
          <w:rFonts w:asciiTheme="minorHAnsi" w:hAnsiTheme="minorHAnsi"/>
        </w:rPr>
        <w:t xml:space="preserve"> and nedocromil</w:t>
      </w:r>
      <w:r w:rsidRPr="00DC5084">
        <w:rPr>
          <w:rFonts w:asciiTheme="minorHAnsi" w:hAnsiTheme="minorHAnsi"/>
        </w:rPr>
        <w:t xml:space="preserve">), </w:t>
      </w:r>
    </w:p>
    <w:p w14:paraId="14004696" w14:textId="069883F7" w:rsidR="001C7948" w:rsidRPr="00DC5084" w:rsidRDefault="001C7948" w:rsidP="005F711D">
      <w:pPr>
        <w:pStyle w:val="ListParagraph"/>
        <w:numPr>
          <w:ilvl w:val="2"/>
          <w:numId w:val="3"/>
        </w:numPr>
        <w:spacing w:after="200"/>
        <w:ind w:left="426"/>
        <w:rPr>
          <w:rFonts w:asciiTheme="minorHAnsi" w:hAnsiTheme="minorHAnsi"/>
        </w:rPr>
      </w:pPr>
      <w:r w:rsidRPr="00DC5084">
        <w:rPr>
          <w:rFonts w:asciiTheme="minorHAnsi" w:hAnsiTheme="minorHAnsi"/>
        </w:rPr>
        <w:t xml:space="preserve">the population with mental illness </w:t>
      </w:r>
      <w:r w:rsidR="0084256C">
        <w:rPr>
          <w:rFonts w:asciiTheme="minorHAnsi" w:hAnsiTheme="minorHAnsi"/>
        </w:rPr>
        <w:t>(</w:t>
      </w:r>
      <w:r w:rsidRPr="00DC5084">
        <w:rPr>
          <w:rFonts w:asciiTheme="minorHAnsi" w:hAnsiTheme="minorHAnsi"/>
        </w:rPr>
        <w:t>people who received at least one medicine for mental illness</w:t>
      </w:r>
      <w:r w:rsidR="00C502B4">
        <w:rPr>
          <w:rFonts w:asciiTheme="minorHAnsi" w:hAnsiTheme="minorHAnsi"/>
        </w:rPr>
        <w:t>;</w:t>
      </w:r>
      <w:r w:rsidR="0084256C">
        <w:rPr>
          <w:rFonts w:asciiTheme="minorHAnsi" w:hAnsiTheme="minorHAnsi"/>
        </w:rPr>
        <w:t xml:space="preserve"> ATC codes </w:t>
      </w:r>
      <w:r w:rsidRPr="00DC5084">
        <w:rPr>
          <w:rFonts w:asciiTheme="minorHAnsi" w:hAnsiTheme="minorHAnsi"/>
        </w:rPr>
        <w:t>N05A</w:t>
      </w:r>
      <w:r w:rsidR="0084256C">
        <w:rPr>
          <w:rFonts w:asciiTheme="minorHAnsi" w:hAnsiTheme="minorHAnsi"/>
        </w:rPr>
        <w:t xml:space="preserve"> (antipsychotics)</w:t>
      </w:r>
      <w:r w:rsidR="00C502B4">
        <w:rPr>
          <w:rFonts w:asciiTheme="minorHAnsi" w:hAnsiTheme="minorHAnsi"/>
        </w:rPr>
        <w:t xml:space="preserve"> or </w:t>
      </w:r>
      <w:r w:rsidRPr="00DC5084">
        <w:rPr>
          <w:rFonts w:asciiTheme="minorHAnsi" w:hAnsiTheme="minorHAnsi"/>
        </w:rPr>
        <w:t>N06A</w:t>
      </w:r>
      <w:r w:rsidR="00C502B4">
        <w:rPr>
          <w:rFonts w:asciiTheme="minorHAnsi" w:hAnsiTheme="minorHAnsi"/>
        </w:rPr>
        <w:t xml:space="preserve"> (antidepressants)</w:t>
      </w:r>
    </w:p>
    <w:p w14:paraId="69A0A242" w14:textId="1D4A3457" w:rsidR="00C502B4" w:rsidRDefault="00446CC4" w:rsidP="005F711D">
      <w:pPr>
        <w:pStyle w:val="ListParagraph"/>
        <w:numPr>
          <w:ilvl w:val="2"/>
          <w:numId w:val="3"/>
        </w:numPr>
        <w:spacing w:after="200"/>
        <w:ind w:left="426"/>
        <w:rPr>
          <w:rFonts w:asciiTheme="minorHAnsi" w:hAnsiTheme="minorHAnsi"/>
        </w:rPr>
      </w:pPr>
      <w:r>
        <w:rPr>
          <w:rFonts w:asciiTheme="minorHAnsi" w:hAnsiTheme="minorHAnsi"/>
        </w:rPr>
        <w:t>t</w:t>
      </w:r>
      <w:r w:rsidR="001C7948" w:rsidRPr="00DC5084">
        <w:rPr>
          <w:rFonts w:asciiTheme="minorHAnsi" w:hAnsiTheme="minorHAnsi"/>
        </w:rPr>
        <w:t xml:space="preserve">he Aboriginal and Torres Strait Islander population based on </w:t>
      </w:r>
      <w:r w:rsidR="00C502B4">
        <w:rPr>
          <w:rFonts w:asciiTheme="minorHAnsi" w:hAnsiTheme="minorHAnsi"/>
        </w:rPr>
        <w:t>the following criteria: supply</w:t>
      </w:r>
      <w:r w:rsidR="0012280F">
        <w:rPr>
          <w:rFonts w:asciiTheme="minorHAnsi" w:hAnsiTheme="minorHAnsi"/>
        </w:rPr>
        <w:t xml:space="preserve"> of prescriptions under the C</w:t>
      </w:r>
      <w:r w:rsidR="00C502B4">
        <w:rPr>
          <w:rFonts w:asciiTheme="minorHAnsi" w:hAnsiTheme="minorHAnsi"/>
        </w:rPr>
        <w:t>losing the Gap</w:t>
      </w:r>
      <w:r w:rsidR="0012280F">
        <w:rPr>
          <w:rFonts w:asciiTheme="minorHAnsi" w:hAnsiTheme="minorHAnsi"/>
        </w:rPr>
        <w:t xml:space="preserve"> Co-Payment Measure</w:t>
      </w:r>
      <w:r w:rsidR="00C502B4">
        <w:rPr>
          <w:rFonts w:asciiTheme="minorHAnsi" w:hAnsiTheme="minorHAnsi"/>
        </w:rPr>
        <w:t xml:space="preserve"> program, or utilisation of Indigenous-specific MBS items, or Voluntary Indigenous Identifier</w:t>
      </w:r>
    </w:p>
    <w:p w14:paraId="527DBFE7" w14:textId="77777777" w:rsidR="001C7948" w:rsidRDefault="00446CC4" w:rsidP="005F711D">
      <w:pPr>
        <w:pStyle w:val="ListParagraph"/>
        <w:numPr>
          <w:ilvl w:val="2"/>
          <w:numId w:val="3"/>
        </w:numPr>
        <w:spacing w:after="200"/>
        <w:ind w:left="426"/>
        <w:rPr>
          <w:rFonts w:asciiTheme="minorHAnsi" w:hAnsiTheme="minorHAnsi"/>
        </w:rPr>
      </w:pPr>
      <w:r>
        <w:rPr>
          <w:rFonts w:asciiTheme="minorHAnsi" w:hAnsiTheme="minorHAnsi"/>
        </w:rPr>
        <w:t>w</w:t>
      </w:r>
      <w:r w:rsidR="00682625" w:rsidRPr="00DC5084">
        <w:rPr>
          <w:rFonts w:asciiTheme="minorHAnsi" w:hAnsiTheme="minorHAnsi"/>
        </w:rPr>
        <w:t>omen</w:t>
      </w:r>
      <w:r w:rsidR="001C7948" w:rsidRPr="00DC5084">
        <w:rPr>
          <w:rFonts w:asciiTheme="minorHAnsi" w:hAnsiTheme="minorHAnsi"/>
        </w:rPr>
        <w:t xml:space="preserve"> of child-bearing age were estimated based on women aged between 15 and 44 years</w:t>
      </w:r>
      <w:r w:rsidR="00C502B4">
        <w:rPr>
          <w:rFonts w:asciiTheme="minorHAnsi" w:hAnsiTheme="minorHAnsi"/>
        </w:rPr>
        <w:t xml:space="preserve"> at the time of PBS prescription</w:t>
      </w:r>
      <w:r w:rsidR="001C7948" w:rsidRPr="00DC5084">
        <w:rPr>
          <w:rFonts w:asciiTheme="minorHAnsi" w:hAnsiTheme="minorHAnsi"/>
        </w:rPr>
        <w:t>.</w:t>
      </w:r>
    </w:p>
    <w:p w14:paraId="3D37D969" w14:textId="77777777" w:rsidR="00BF7350" w:rsidRPr="00BF7350" w:rsidRDefault="00BF7350" w:rsidP="00BF7350">
      <w:r w:rsidRPr="00842121">
        <w:t xml:space="preserve">We also </w:t>
      </w:r>
      <w:r w:rsidR="0020290F" w:rsidRPr="00842121">
        <w:t>reported</w:t>
      </w:r>
      <w:r w:rsidRPr="00842121">
        <w:t xml:space="preserve"> the number of </w:t>
      </w:r>
      <w:r w:rsidR="0020290F" w:rsidRPr="00842121">
        <w:t xml:space="preserve">packs for all smoking </w:t>
      </w:r>
      <w:r w:rsidRPr="00842121">
        <w:t>cessation therap</w:t>
      </w:r>
      <w:r w:rsidR="0020290F" w:rsidRPr="00842121">
        <w:t>ies</w:t>
      </w:r>
      <w:r w:rsidRPr="00842121">
        <w:t xml:space="preserve"> </w:t>
      </w:r>
      <w:r w:rsidR="0020290F" w:rsidRPr="00842121">
        <w:t xml:space="preserve">provided through the </w:t>
      </w:r>
      <w:r w:rsidRPr="00842121">
        <w:t xml:space="preserve">Aboriginal Health Services </w:t>
      </w:r>
      <w:r w:rsidR="0020290F" w:rsidRPr="00842121">
        <w:t xml:space="preserve">and estimated </w:t>
      </w:r>
      <w:r w:rsidR="004303EE">
        <w:t>the</w:t>
      </w:r>
      <w:r w:rsidR="0020290F" w:rsidRPr="00842121">
        <w:t xml:space="preserve"> proportion from the number of smoking cessation therapies supplied through the PBS. </w:t>
      </w:r>
      <w:r w:rsidRPr="00842121">
        <w:t xml:space="preserve"> </w:t>
      </w:r>
    </w:p>
    <w:p w14:paraId="229C587A" w14:textId="77777777" w:rsidR="001C7948" w:rsidRPr="00D15E9A" w:rsidRDefault="001C7948" w:rsidP="00D15E9A">
      <w:pPr>
        <w:rPr>
          <w:b/>
          <w:bCs/>
        </w:rPr>
      </w:pPr>
      <w:r w:rsidRPr="00D15E9A">
        <w:rPr>
          <w:b/>
          <w:bCs/>
        </w:rPr>
        <w:t xml:space="preserve">5) Prevalence of smoking in Australia in the general and specific populations </w:t>
      </w:r>
    </w:p>
    <w:p w14:paraId="62FB1729" w14:textId="77777777" w:rsidR="001C7948" w:rsidRPr="00DC5084" w:rsidRDefault="001C7948" w:rsidP="006853CB">
      <w:pPr>
        <w:pStyle w:val="ListParagraph"/>
        <w:numPr>
          <w:ilvl w:val="0"/>
          <w:numId w:val="2"/>
        </w:numPr>
        <w:spacing w:after="200"/>
        <w:ind w:left="284"/>
        <w:rPr>
          <w:rFonts w:asciiTheme="minorHAnsi" w:hAnsiTheme="minorHAnsi"/>
        </w:rPr>
      </w:pPr>
      <w:r w:rsidRPr="00DC5084">
        <w:rPr>
          <w:rFonts w:asciiTheme="minorHAnsi" w:hAnsiTheme="minorHAnsi"/>
        </w:rPr>
        <w:t>The prevalence of current smokers in Australia was reported based on the Australian Institute of Health and Welfare, National Drug Strategy Household Survey 2019</w:t>
      </w:r>
    </w:p>
    <w:p w14:paraId="55B46DBD" w14:textId="77777777" w:rsidR="001C7948" w:rsidRPr="00DC5084" w:rsidRDefault="001C7948" w:rsidP="006853CB">
      <w:pPr>
        <w:pStyle w:val="ListParagraph"/>
        <w:numPr>
          <w:ilvl w:val="0"/>
          <w:numId w:val="2"/>
        </w:numPr>
        <w:spacing w:after="200"/>
        <w:ind w:left="284"/>
        <w:rPr>
          <w:rFonts w:asciiTheme="minorHAnsi" w:hAnsiTheme="minorHAnsi"/>
        </w:rPr>
      </w:pPr>
      <w:r w:rsidRPr="00DC5084">
        <w:rPr>
          <w:rFonts w:asciiTheme="minorHAnsi" w:hAnsiTheme="minorHAnsi"/>
        </w:rPr>
        <w:t>The prevalence of tobacco use among Aboriginal and Torres Islander people - based on Tobacco in Australia: Facts and Issues</w:t>
      </w:r>
    </w:p>
    <w:p w14:paraId="05E2D071" w14:textId="77777777" w:rsidR="001C7948" w:rsidRPr="00DC5084" w:rsidRDefault="001C7948" w:rsidP="006853CB">
      <w:pPr>
        <w:pStyle w:val="ListParagraph"/>
        <w:numPr>
          <w:ilvl w:val="0"/>
          <w:numId w:val="2"/>
        </w:numPr>
        <w:spacing w:after="200"/>
        <w:ind w:left="284"/>
        <w:rPr>
          <w:rFonts w:asciiTheme="minorHAnsi" w:hAnsiTheme="minorHAnsi"/>
        </w:rPr>
      </w:pPr>
      <w:r w:rsidRPr="00DC5084">
        <w:rPr>
          <w:rFonts w:asciiTheme="minorHAnsi" w:hAnsiTheme="minorHAnsi"/>
        </w:rPr>
        <w:t>The prevalence of smoking in the first 20 weeks of women who gave birth - based on the Australian Institute of Health and Welfare, Australia’s mother and babies report</w:t>
      </w:r>
    </w:p>
    <w:p w14:paraId="69633E4A" w14:textId="77777777" w:rsidR="001C7948" w:rsidRPr="00DC5084" w:rsidRDefault="001C7948" w:rsidP="006853CB">
      <w:pPr>
        <w:pStyle w:val="ListParagraph"/>
        <w:numPr>
          <w:ilvl w:val="0"/>
          <w:numId w:val="2"/>
        </w:numPr>
        <w:spacing w:after="200"/>
        <w:ind w:left="284"/>
        <w:rPr>
          <w:rFonts w:asciiTheme="minorHAnsi" w:hAnsiTheme="minorHAnsi"/>
        </w:rPr>
      </w:pPr>
      <w:r w:rsidRPr="00DC5084">
        <w:rPr>
          <w:rFonts w:asciiTheme="minorHAnsi" w:hAnsiTheme="minorHAnsi"/>
        </w:rPr>
        <w:t>The prevalence of current smokers among prison entrants - based on Australian Institute of Health and Welfare, The health of Australia’s prisoners report 2018</w:t>
      </w:r>
    </w:p>
    <w:p w14:paraId="1F59826A" w14:textId="77777777" w:rsidR="001C7948" w:rsidRPr="00DC5084" w:rsidRDefault="001C7948" w:rsidP="006853CB">
      <w:pPr>
        <w:pStyle w:val="ListParagraph"/>
        <w:numPr>
          <w:ilvl w:val="0"/>
          <w:numId w:val="2"/>
        </w:numPr>
        <w:spacing w:after="200"/>
        <w:ind w:left="284"/>
        <w:rPr>
          <w:rFonts w:asciiTheme="minorHAnsi" w:hAnsiTheme="minorHAnsi"/>
        </w:rPr>
      </w:pPr>
      <w:r w:rsidRPr="00DC5084">
        <w:rPr>
          <w:rFonts w:asciiTheme="minorHAnsi" w:hAnsiTheme="minorHAnsi"/>
        </w:rPr>
        <w:t>The prevalence of smoking in people with alcohol and drug problems or mental illness – based on the National Health Survey (2014-2015)</w:t>
      </w:r>
    </w:p>
    <w:p w14:paraId="47ECD4B4" w14:textId="77777777" w:rsidR="001C7948" w:rsidRDefault="001C7948" w:rsidP="006853CB">
      <w:pPr>
        <w:pStyle w:val="ListParagraph"/>
        <w:spacing w:after="200"/>
        <w:ind w:left="284"/>
        <w:rPr>
          <w:rFonts w:asciiTheme="minorHAnsi" w:hAnsiTheme="minorHAnsi"/>
          <w:sz w:val="22"/>
          <w:szCs w:val="22"/>
        </w:rPr>
      </w:pPr>
    </w:p>
    <w:p w14:paraId="63A8E012" w14:textId="77777777" w:rsidR="00C74726" w:rsidRDefault="001C7948" w:rsidP="00A25072">
      <w:pPr>
        <w:spacing w:after="0"/>
      </w:pPr>
      <w:r w:rsidRPr="00C74726">
        <w:t xml:space="preserve">Based on these data and the data calculated in section 4 we estimated the proportion of </w:t>
      </w:r>
      <w:r w:rsidR="00C74726">
        <w:t>specific</w:t>
      </w:r>
      <w:r w:rsidRPr="00C74726">
        <w:t xml:space="preserve"> populations of interest that access smoking cessation therapy</w:t>
      </w:r>
      <w:r w:rsidR="00C74726">
        <w:t xml:space="preserve"> under the PBS (</w:t>
      </w:r>
      <w:r w:rsidR="00C74726" w:rsidRPr="005F711D">
        <w:t xml:space="preserve">the population of interest </w:t>
      </w:r>
      <w:r w:rsidR="00C74726">
        <w:t>wa</w:t>
      </w:r>
      <w:r w:rsidR="00C74726" w:rsidRPr="005F711D">
        <w:t>s the denominator</w:t>
      </w:r>
      <w:r w:rsidR="00C74726">
        <w:t>)</w:t>
      </w:r>
      <w:r w:rsidRPr="00C74726">
        <w:t>.</w:t>
      </w:r>
      <w:r w:rsidRPr="00B350FD">
        <w:t xml:space="preserve"> </w:t>
      </w:r>
      <w:r w:rsidR="00C74726">
        <w:t>Due to data limitations, estimates are presented for 2013, 2016 and 2019 for the following populations of interest:</w:t>
      </w:r>
    </w:p>
    <w:p w14:paraId="60A8F4D8" w14:textId="77777777" w:rsidR="00C74726" w:rsidRDefault="00C74726" w:rsidP="00A25072">
      <w:pPr>
        <w:spacing w:after="0"/>
      </w:pPr>
      <w:r>
        <w:t xml:space="preserve">- Australian women </w:t>
      </w:r>
      <w:r w:rsidR="004303EE">
        <w:t>of</w:t>
      </w:r>
      <w:r>
        <w:t xml:space="preserve"> child-bearing age, aged 15 to 44 (based on Australian Bureau of Statistics demographics);</w:t>
      </w:r>
    </w:p>
    <w:p w14:paraId="4CC5E84C" w14:textId="5EBBD055" w:rsidR="00C74726" w:rsidRDefault="00C74726" w:rsidP="00C74726">
      <w:pPr>
        <w:spacing w:after="0"/>
      </w:pPr>
      <w:r>
        <w:t xml:space="preserve">- </w:t>
      </w:r>
      <w:r w:rsidRPr="00DC5084">
        <w:t>Aboriginal and Torres Strait Islander population</w:t>
      </w:r>
      <w:r>
        <w:t xml:space="preserve"> aged 18+ in Australia (based </w:t>
      </w:r>
      <w:r w:rsidRPr="00DC5084">
        <w:t>on Tobacco in Australia: Facts and Issues</w:t>
      </w:r>
      <w:r>
        <w:t>)</w:t>
      </w:r>
      <w:r w:rsidR="00257697">
        <w:t>;</w:t>
      </w:r>
      <w:r>
        <w:t xml:space="preserve"> </w:t>
      </w:r>
    </w:p>
    <w:p w14:paraId="5F6D7FAD" w14:textId="66343746" w:rsidR="00C74726" w:rsidRPr="005F711D" w:rsidRDefault="00C74726" w:rsidP="00C74726">
      <w:pPr>
        <w:spacing w:after="0"/>
      </w:pPr>
      <w:r>
        <w:t>-</w:t>
      </w:r>
      <w:r w:rsidRPr="00DC5084">
        <w:t xml:space="preserve"> </w:t>
      </w:r>
      <w:r>
        <w:t xml:space="preserve">All current smokers aged 18+ in Australia (based on </w:t>
      </w:r>
      <w:r w:rsidRPr="00DC5084">
        <w:t>Australian Institute of Health and Welfare, National Drug Strategy Household Survey 2019</w:t>
      </w:r>
      <w:r>
        <w:t>)</w:t>
      </w:r>
      <w:r w:rsidR="00257697">
        <w:t>;</w:t>
      </w:r>
    </w:p>
    <w:p w14:paraId="06C80869" w14:textId="77777777" w:rsidR="00C74726" w:rsidRDefault="00C74726" w:rsidP="00C74726">
      <w:r>
        <w:t xml:space="preserve">Data for overall population at risk of </w:t>
      </w:r>
      <w:r w:rsidR="00824DD7">
        <w:t>alcohol</w:t>
      </w:r>
      <w:r>
        <w:t xml:space="preserve"> abuse, population with </w:t>
      </w:r>
      <w:r w:rsidR="00824DD7">
        <w:t>smoking related</w:t>
      </w:r>
      <w:r>
        <w:t xml:space="preserve"> illness and population with mental illness was not available. </w:t>
      </w:r>
    </w:p>
    <w:p w14:paraId="42F76196" w14:textId="7C3975EE" w:rsidR="001C7948" w:rsidRPr="00DC5084" w:rsidRDefault="001C7948" w:rsidP="00A25072">
      <w:pPr>
        <w:spacing w:after="0"/>
      </w:pPr>
      <w:r w:rsidRPr="00DC5084">
        <w:t>The use of various aid</w:t>
      </w:r>
      <w:r w:rsidR="00972DDC">
        <w:t>s</w:t>
      </w:r>
      <w:r w:rsidRPr="00DC5084">
        <w:t xml:space="preserve"> to assist smoking cessation including counselling services such as Quitline w</w:t>
      </w:r>
      <w:r w:rsidR="00214E29" w:rsidRPr="00DC5084">
        <w:t>as</w:t>
      </w:r>
      <w:r w:rsidRPr="00DC5084">
        <w:t xml:space="preserve"> reported based on the Australian Institute of Health and Welfare, National Drug Strategy Household Survey 2019 and any data provided by the Australian Government Department of Health, including data from </w:t>
      </w:r>
      <w:r w:rsidR="003A2E93">
        <w:t xml:space="preserve">the </w:t>
      </w:r>
      <w:r w:rsidRPr="00DC5084">
        <w:t>Quitline for 2019</w:t>
      </w:r>
      <w:r w:rsidR="00E936FD">
        <w:t>.</w:t>
      </w:r>
    </w:p>
    <w:p w14:paraId="27678F3C" w14:textId="30FC5621" w:rsidR="001C7948" w:rsidRPr="00DC5084" w:rsidRDefault="001C7948" w:rsidP="00A25072">
      <w:pPr>
        <w:numPr>
          <w:ilvl w:val="0"/>
          <w:numId w:val="4"/>
        </w:numPr>
        <w:spacing w:after="0"/>
        <w:ind w:left="426" w:hanging="357"/>
        <w:rPr>
          <w:color w:val="000000"/>
        </w:rPr>
      </w:pPr>
      <w:r w:rsidRPr="00DC5084">
        <w:rPr>
          <w:color w:val="000000"/>
        </w:rPr>
        <w:t>Number of people</w:t>
      </w:r>
      <w:r w:rsidR="0043625B">
        <w:rPr>
          <w:color w:val="000000"/>
        </w:rPr>
        <w:t xml:space="preserve"> contacting Quitline (per month by state</w:t>
      </w:r>
      <w:r w:rsidRPr="00DC5084">
        <w:rPr>
          <w:color w:val="000000"/>
        </w:rPr>
        <w:t xml:space="preserve">) </w:t>
      </w:r>
    </w:p>
    <w:p w14:paraId="4AEEBF2C" w14:textId="77777777" w:rsidR="001C7948" w:rsidRPr="00DC5084" w:rsidRDefault="004303EE" w:rsidP="006853CB">
      <w:pPr>
        <w:numPr>
          <w:ilvl w:val="0"/>
          <w:numId w:val="4"/>
        </w:numPr>
        <w:spacing w:after="0"/>
        <w:ind w:left="426" w:hanging="357"/>
        <w:rPr>
          <w:color w:val="000000"/>
        </w:rPr>
      </w:pPr>
      <w:r>
        <w:rPr>
          <w:color w:val="000000"/>
        </w:rPr>
        <w:t>The p</w:t>
      </w:r>
      <w:r w:rsidR="001C7948" w:rsidRPr="00DC5084">
        <w:rPr>
          <w:color w:val="000000"/>
        </w:rPr>
        <w:t xml:space="preserve">roportion of people who call Quitline who are referred by a health professional/GP </w:t>
      </w:r>
    </w:p>
    <w:p w14:paraId="0AE399C4" w14:textId="77777777" w:rsidR="00A25072" w:rsidRDefault="00A25072" w:rsidP="003D64B1">
      <w:pPr>
        <w:rPr>
          <w:highlight w:val="yellow"/>
        </w:rPr>
      </w:pPr>
    </w:p>
    <w:p w14:paraId="588E9B64" w14:textId="77777777" w:rsidR="001C7948" w:rsidRPr="00D15E9A" w:rsidRDefault="001C7948" w:rsidP="00D15E9A">
      <w:pPr>
        <w:rPr>
          <w:b/>
          <w:bCs/>
        </w:rPr>
      </w:pPr>
      <w:bookmarkStart w:id="40" w:name="_Toc43980743"/>
      <w:r w:rsidRPr="00D15E9A">
        <w:rPr>
          <w:b/>
          <w:bCs/>
        </w:rPr>
        <w:t>6) Trajectories of care</w:t>
      </w:r>
      <w:bookmarkEnd w:id="40"/>
    </w:p>
    <w:p w14:paraId="71EC2517" w14:textId="77777777" w:rsidR="001C7948" w:rsidRDefault="001C7948" w:rsidP="001C7948">
      <w:pPr>
        <w:widowControl w:val="0"/>
        <w:rPr>
          <w:rFonts w:cstheme="minorHAnsi"/>
          <w:lang w:val="en-US"/>
        </w:rPr>
      </w:pPr>
      <w:r w:rsidRPr="00322888">
        <w:rPr>
          <w:rFonts w:cstheme="minorHAnsi"/>
          <w:lang w:val="en-US"/>
        </w:rPr>
        <w:t xml:space="preserve">Treatment pathways </w:t>
      </w:r>
      <w:r w:rsidR="00A65091">
        <w:rPr>
          <w:rFonts w:cstheme="minorHAnsi"/>
          <w:lang w:val="en-US"/>
        </w:rPr>
        <w:t>from</w:t>
      </w:r>
      <w:r>
        <w:rPr>
          <w:rFonts w:cstheme="minorHAnsi"/>
          <w:lang w:val="en-US"/>
        </w:rPr>
        <w:t xml:space="preserve"> initiat</w:t>
      </w:r>
      <w:r w:rsidR="00A65091">
        <w:rPr>
          <w:rFonts w:cstheme="minorHAnsi"/>
          <w:lang w:val="en-US"/>
        </w:rPr>
        <w:t>ion of</w:t>
      </w:r>
      <w:r>
        <w:rPr>
          <w:rFonts w:cstheme="minorHAnsi"/>
          <w:lang w:val="en-US"/>
        </w:rPr>
        <w:t xml:space="preserve"> smoking cessation medicine (first ever prescription) between 1 </w:t>
      </w:r>
      <w:r w:rsidR="00A65091">
        <w:rPr>
          <w:rFonts w:cstheme="minorHAnsi"/>
          <w:lang w:val="en-US"/>
        </w:rPr>
        <w:t>July</w:t>
      </w:r>
      <w:r>
        <w:rPr>
          <w:rFonts w:cstheme="minorHAnsi"/>
          <w:lang w:val="en-US"/>
        </w:rPr>
        <w:t xml:space="preserve"> 2010 and 3</w:t>
      </w:r>
      <w:r w:rsidR="00A65091">
        <w:rPr>
          <w:rFonts w:cstheme="minorHAnsi"/>
          <w:lang w:val="en-US"/>
        </w:rPr>
        <w:t>0</w:t>
      </w:r>
      <w:r>
        <w:rPr>
          <w:rFonts w:cstheme="minorHAnsi"/>
          <w:lang w:val="en-US"/>
        </w:rPr>
        <w:t xml:space="preserve"> </w:t>
      </w:r>
      <w:r w:rsidR="00A65091">
        <w:rPr>
          <w:rFonts w:cstheme="minorHAnsi"/>
          <w:lang w:val="en-US"/>
        </w:rPr>
        <w:t>June</w:t>
      </w:r>
      <w:r>
        <w:rPr>
          <w:rFonts w:cstheme="minorHAnsi"/>
          <w:lang w:val="en-US"/>
        </w:rPr>
        <w:t xml:space="preserve"> 201</w:t>
      </w:r>
      <w:r w:rsidR="00A65091">
        <w:rPr>
          <w:rFonts w:cstheme="minorHAnsi"/>
          <w:lang w:val="en-US"/>
        </w:rPr>
        <w:t>5</w:t>
      </w:r>
      <w:r>
        <w:rPr>
          <w:rFonts w:cstheme="minorHAnsi"/>
          <w:lang w:val="en-US"/>
        </w:rPr>
        <w:t xml:space="preserve"> (</w:t>
      </w:r>
      <w:r w:rsidR="00A65091">
        <w:rPr>
          <w:rFonts w:cstheme="minorHAnsi"/>
          <w:lang w:val="en-US"/>
        </w:rPr>
        <w:t>the period from 1 Jan 2008 to 30 Jun 2010 was used</w:t>
      </w:r>
      <w:r>
        <w:t xml:space="preserve"> </w:t>
      </w:r>
      <w:r w:rsidR="00A65091">
        <w:t xml:space="preserve">as </w:t>
      </w:r>
      <w:r>
        <w:t xml:space="preserve">a baseline </w:t>
      </w:r>
      <w:r w:rsidR="00A65091">
        <w:t>period</w:t>
      </w:r>
      <w:r>
        <w:t>)</w:t>
      </w:r>
      <w:r>
        <w:rPr>
          <w:rFonts w:cstheme="minorHAnsi"/>
          <w:lang w:val="en-US"/>
        </w:rPr>
        <w:t xml:space="preserve"> </w:t>
      </w:r>
      <w:r w:rsidR="00A65091">
        <w:rPr>
          <w:rFonts w:cstheme="minorHAnsi"/>
          <w:lang w:val="en-US"/>
        </w:rPr>
        <w:t xml:space="preserve">to the end of a follow-up of </w:t>
      </w:r>
      <w:r>
        <w:rPr>
          <w:rFonts w:cstheme="minorHAnsi"/>
          <w:lang w:val="en-US"/>
        </w:rPr>
        <w:t xml:space="preserve">5 years </w:t>
      </w:r>
      <w:r w:rsidR="00A65091">
        <w:rPr>
          <w:rFonts w:cstheme="minorHAnsi"/>
          <w:lang w:val="en-US"/>
        </w:rPr>
        <w:t>we</w:t>
      </w:r>
      <w:r w:rsidR="00152BDC">
        <w:rPr>
          <w:rFonts w:cstheme="minorHAnsi"/>
          <w:lang w:val="en-US"/>
        </w:rPr>
        <w:t>re</w:t>
      </w:r>
      <w:r w:rsidRPr="00322888">
        <w:rPr>
          <w:rFonts w:cstheme="minorHAnsi"/>
          <w:lang w:val="en-US"/>
        </w:rPr>
        <w:t xml:space="preserve"> presented</w:t>
      </w:r>
      <w:r w:rsidR="005750D1">
        <w:rPr>
          <w:rFonts w:cstheme="minorHAnsi"/>
          <w:lang w:val="en-US"/>
        </w:rPr>
        <w:t>,</w:t>
      </w:r>
      <w:r w:rsidRPr="00322888">
        <w:rPr>
          <w:rFonts w:cstheme="minorHAnsi"/>
          <w:lang w:val="en-US"/>
        </w:rPr>
        <w:t xml:space="preserve"> reporting </w:t>
      </w:r>
      <w:r w:rsidRPr="00240E37">
        <w:rPr>
          <w:rFonts w:cstheme="minorHAnsi"/>
          <w:lang w:val="en-US"/>
        </w:rPr>
        <w:t>restarts and</w:t>
      </w:r>
      <w:r>
        <w:rPr>
          <w:rFonts w:cstheme="minorHAnsi"/>
          <w:lang w:val="en-US"/>
        </w:rPr>
        <w:t xml:space="preserve"> </w:t>
      </w:r>
      <w:r w:rsidRPr="00322888">
        <w:rPr>
          <w:rFonts w:cstheme="minorHAnsi"/>
          <w:lang w:val="en-US"/>
        </w:rPr>
        <w:t>switches in therapy to determine the most common switching</w:t>
      </w:r>
      <w:r>
        <w:rPr>
          <w:rFonts w:cstheme="minorHAnsi"/>
          <w:lang w:val="en-US"/>
        </w:rPr>
        <w:t xml:space="preserve">, combinations of use and </w:t>
      </w:r>
      <w:r w:rsidRPr="00322888">
        <w:rPr>
          <w:rFonts w:cstheme="minorHAnsi"/>
          <w:lang w:val="en-US"/>
        </w:rPr>
        <w:t xml:space="preserve">re-initiating patterns.  </w:t>
      </w:r>
    </w:p>
    <w:p w14:paraId="0B57D46D" w14:textId="436E352E" w:rsidR="001C7948" w:rsidRDefault="001C7948" w:rsidP="001C7948">
      <w:pPr>
        <w:widowControl w:val="0"/>
      </w:pPr>
      <w:r w:rsidRPr="00322888">
        <w:t xml:space="preserve">The results </w:t>
      </w:r>
      <w:r>
        <w:t>w</w:t>
      </w:r>
      <w:r w:rsidR="00152BDC">
        <w:t>ere</w:t>
      </w:r>
      <w:r w:rsidRPr="00322888">
        <w:t xml:space="preserve"> aggregated to present patterns of clinical pathways for treatment </w:t>
      </w:r>
      <w:r>
        <w:t xml:space="preserve">episodes </w:t>
      </w:r>
      <w:r w:rsidRPr="00322888">
        <w:t xml:space="preserve">from first line to last line treatment, </w:t>
      </w:r>
      <w:r w:rsidRPr="00240E37">
        <w:t>including</w:t>
      </w:r>
      <w:r w:rsidRPr="00322888">
        <w:t xml:space="preserve"> gaps in therapy (</w:t>
      </w:r>
      <w:r w:rsidRPr="00322888">
        <w:rPr>
          <w:rFonts w:cstheme="minorHAnsi"/>
          <w:lang w:val="en-US"/>
        </w:rPr>
        <w:t xml:space="preserve">a gap in refill for the current medicine of </w:t>
      </w:r>
      <w:r>
        <w:rPr>
          <w:rFonts w:cstheme="minorHAnsi"/>
          <w:lang w:val="en-US"/>
        </w:rPr>
        <w:t>two</w:t>
      </w:r>
      <w:r w:rsidRPr="00322888">
        <w:rPr>
          <w:rFonts w:cstheme="minorHAnsi"/>
          <w:lang w:val="en-US"/>
        </w:rPr>
        <w:t xml:space="preserve"> times the length of the estimated prescription duration</w:t>
      </w:r>
      <w:r w:rsidRPr="00322888">
        <w:t xml:space="preserve">). The estimated prescription duration for each medicine </w:t>
      </w:r>
      <w:r w:rsidR="00152BDC">
        <w:t xml:space="preserve">was </w:t>
      </w:r>
      <w:r w:rsidRPr="00322888">
        <w:t xml:space="preserve">based on </w:t>
      </w:r>
      <w:r>
        <w:t>s</w:t>
      </w:r>
      <w:r w:rsidR="00846379">
        <w:t>tandard</w:t>
      </w:r>
      <w:r>
        <w:t xml:space="preserve"> coverage days (SCD) calculated </w:t>
      </w:r>
      <w:r w:rsidRPr="00377354">
        <w:rPr>
          <w:rFonts w:ascii="Calibri" w:hAnsi="Calibri"/>
        </w:rPr>
        <w:t xml:space="preserve">from the data </w:t>
      </w:r>
      <w:r>
        <w:rPr>
          <w:rFonts w:ascii="Calibri" w:hAnsi="Calibri"/>
        </w:rPr>
        <w:t xml:space="preserve">for each medicine </w:t>
      </w:r>
      <w:r w:rsidRPr="00377354">
        <w:rPr>
          <w:rFonts w:ascii="Calibri" w:hAnsi="Calibri"/>
        </w:rPr>
        <w:t>and reflect</w:t>
      </w:r>
      <w:r>
        <w:rPr>
          <w:rFonts w:ascii="Calibri" w:hAnsi="Calibri"/>
        </w:rPr>
        <w:t>ing</w:t>
      </w:r>
      <w:r w:rsidRPr="00377354">
        <w:rPr>
          <w:rFonts w:ascii="Calibri" w:hAnsi="Calibri"/>
        </w:rPr>
        <w:t xml:space="preserve"> the time period within which 75% of those who </w:t>
      </w:r>
      <w:r>
        <w:rPr>
          <w:rFonts w:ascii="Calibri" w:hAnsi="Calibri"/>
        </w:rPr>
        <w:t>are</w:t>
      </w:r>
      <w:r w:rsidRPr="00377354">
        <w:rPr>
          <w:rFonts w:ascii="Calibri" w:hAnsi="Calibri"/>
        </w:rPr>
        <w:t xml:space="preserve"> prescribed that medicine ha</w:t>
      </w:r>
      <w:r>
        <w:rPr>
          <w:rFonts w:ascii="Calibri" w:hAnsi="Calibri"/>
        </w:rPr>
        <w:t>ve</w:t>
      </w:r>
      <w:r w:rsidRPr="00377354">
        <w:rPr>
          <w:rFonts w:ascii="Calibri" w:hAnsi="Calibri"/>
        </w:rPr>
        <w:t xml:space="preserve"> a repeat prescription dispensed</w:t>
      </w:r>
      <w:r>
        <w:rPr>
          <w:rFonts w:ascii="Calibri" w:hAnsi="Calibri"/>
        </w:rPr>
        <w:t>.</w:t>
      </w:r>
      <w:r w:rsidRPr="004B371F">
        <w:t xml:space="preserve"> If multiple prescriptions of the same medication (but not the same strength) </w:t>
      </w:r>
      <w:r>
        <w:t>are</w:t>
      </w:r>
      <w:r w:rsidRPr="004B371F">
        <w:t xml:space="preserve"> supplied on the same day, it </w:t>
      </w:r>
      <w:r w:rsidR="005750D1">
        <w:t>was</w:t>
      </w:r>
      <w:r w:rsidRPr="004B371F">
        <w:t xml:space="preserve"> assumed that these </w:t>
      </w:r>
      <w:r w:rsidRPr="00240E37">
        <w:t>were used together</w:t>
      </w:r>
      <w:r w:rsidRPr="004B371F">
        <w:t xml:space="preserve"> and the </w:t>
      </w:r>
      <w:r>
        <w:t xml:space="preserve">treatment </w:t>
      </w:r>
      <w:r w:rsidRPr="004B371F">
        <w:t xml:space="preserve">coverage period </w:t>
      </w:r>
      <w:r w:rsidR="005750D1">
        <w:t xml:space="preserve">was </w:t>
      </w:r>
      <w:r w:rsidR="00152BDC">
        <w:t xml:space="preserve">not </w:t>
      </w:r>
      <w:r w:rsidRPr="004B371F">
        <w:t>extended. If multiple prescription</w:t>
      </w:r>
      <w:r>
        <w:t>s</w:t>
      </w:r>
      <w:r w:rsidRPr="004B371F">
        <w:t xml:space="preserve"> of the same medication and the same strength </w:t>
      </w:r>
      <w:r w:rsidR="005750D1">
        <w:t xml:space="preserve">were </w:t>
      </w:r>
      <w:r w:rsidRPr="004B371F">
        <w:t xml:space="preserve">supplied on the same day (for example original and repeat prescriptions </w:t>
      </w:r>
      <w:r w:rsidR="005750D1">
        <w:t>we</w:t>
      </w:r>
      <w:r>
        <w:t>re</w:t>
      </w:r>
      <w:r w:rsidRPr="004B371F">
        <w:t xml:space="preserve"> supplied under Regulation 24</w:t>
      </w:r>
      <w:r>
        <w:t xml:space="preserve"> (49)</w:t>
      </w:r>
      <w:r w:rsidRPr="004B371F">
        <w:t xml:space="preserve"> on the same day), then this </w:t>
      </w:r>
      <w:r w:rsidR="005750D1">
        <w:t>was</w:t>
      </w:r>
      <w:r w:rsidRPr="004B371F">
        <w:t xml:space="preserve"> assumed to extend the coverage period (i.e. end of coverage period = supply date + number of prescriptions on the same day x SCD). Once medication episodes for each patient and each medicine </w:t>
      </w:r>
      <w:r w:rsidR="005750D1">
        <w:t>we</w:t>
      </w:r>
      <w:r>
        <w:t>re</w:t>
      </w:r>
      <w:r w:rsidRPr="004B371F">
        <w:t xml:space="preserve"> determined, then regimens of monotherapy and </w:t>
      </w:r>
      <w:r>
        <w:t>concurrent use</w:t>
      </w:r>
      <w:r w:rsidRPr="004B371F">
        <w:t xml:space="preserve"> </w:t>
      </w:r>
      <w:r w:rsidR="005750D1">
        <w:t>we</w:t>
      </w:r>
      <w:r w:rsidR="00152BDC">
        <w:t>re</w:t>
      </w:r>
      <w:r w:rsidRPr="004B371F">
        <w:t xml:space="preserve"> calculated. </w:t>
      </w:r>
      <w:r>
        <w:t xml:space="preserve">Short periods of overlap between two different regimens </w:t>
      </w:r>
      <w:r w:rsidR="005750D1">
        <w:t>was</w:t>
      </w:r>
      <w:r>
        <w:t xml:space="preserve"> considered a switch rather than co-administration (for example A </w:t>
      </w:r>
      <w:r>
        <w:sym w:font="Wingdings" w:char="F0E0"/>
      </w:r>
      <w:r>
        <w:t xml:space="preserve"> A+B </w:t>
      </w:r>
      <w:r>
        <w:sym w:font="Wingdings" w:char="F0E0"/>
      </w:r>
      <w:r>
        <w:t xml:space="preserve"> B </w:t>
      </w:r>
      <w:r w:rsidR="00152BDC">
        <w:t xml:space="preserve">is </w:t>
      </w:r>
      <w:r>
        <w:t>considered as A</w:t>
      </w:r>
      <w:r>
        <w:sym w:font="Wingdings" w:char="F0E0"/>
      </w:r>
      <w:r>
        <w:t xml:space="preserve">B). </w:t>
      </w:r>
    </w:p>
    <w:p w14:paraId="437D10D2" w14:textId="77777777" w:rsidR="001C7948" w:rsidRDefault="001C7948" w:rsidP="001C7948">
      <w:pPr>
        <w:widowControl w:val="0"/>
      </w:pPr>
      <w:r>
        <w:t xml:space="preserve">The results </w:t>
      </w:r>
      <w:r w:rsidR="00152BDC">
        <w:t>were</w:t>
      </w:r>
      <w:r>
        <w:t xml:space="preserve"> stratified by type of index medicine</w:t>
      </w:r>
      <w:r w:rsidR="00A65091">
        <w:t>.</w:t>
      </w:r>
      <w:r>
        <w:t xml:space="preserve"> </w:t>
      </w:r>
    </w:p>
    <w:p w14:paraId="2FFB1D1C" w14:textId="77777777" w:rsidR="001C7948" w:rsidRPr="00D15E9A" w:rsidRDefault="001C7948" w:rsidP="00D15E9A">
      <w:pPr>
        <w:rPr>
          <w:b/>
          <w:bCs/>
        </w:rPr>
      </w:pPr>
      <w:r w:rsidRPr="00D15E9A">
        <w:rPr>
          <w:b/>
          <w:bCs/>
        </w:rPr>
        <w:t>7) Number of therapies and length of treatment with smoking cessation medicines</w:t>
      </w:r>
    </w:p>
    <w:p w14:paraId="4F988653" w14:textId="77777777" w:rsidR="001C7948" w:rsidRPr="008C3D54" w:rsidRDefault="001C7948" w:rsidP="003D64B1">
      <w:pPr>
        <w:widowControl w:val="0"/>
      </w:pPr>
      <w:r w:rsidRPr="008C3D54">
        <w:t xml:space="preserve">A cohort study </w:t>
      </w:r>
      <w:r w:rsidR="00152BDC">
        <w:t>was</w:t>
      </w:r>
      <w:r w:rsidRPr="008C3D54">
        <w:t xml:space="preserve"> conducted to investigate duration of treatment in people who initiated </w:t>
      </w:r>
      <w:r>
        <w:t xml:space="preserve">(first ever) smoking cessation medicine </w:t>
      </w:r>
      <w:r w:rsidR="00A25072">
        <w:t>between 1 July</w:t>
      </w:r>
      <w:r w:rsidRPr="008C3D54">
        <w:rPr>
          <w:rFonts w:cstheme="minorHAnsi"/>
          <w:lang w:val="en-US"/>
        </w:rPr>
        <w:t xml:space="preserve"> 2010 </w:t>
      </w:r>
      <w:r w:rsidR="00A25072">
        <w:rPr>
          <w:rFonts w:cstheme="minorHAnsi"/>
          <w:lang w:val="en-US"/>
        </w:rPr>
        <w:t>and 30 June 2015</w:t>
      </w:r>
      <w:r w:rsidRPr="008C3D54">
        <w:rPr>
          <w:rFonts w:cstheme="minorHAnsi"/>
          <w:lang w:val="en-US"/>
        </w:rPr>
        <w:t xml:space="preserve"> (</w:t>
      </w:r>
      <w:r w:rsidR="00A25072">
        <w:rPr>
          <w:rFonts w:cstheme="minorHAnsi"/>
          <w:lang w:val="en-US"/>
        </w:rPr>
        <w:t xml:space="preserve">the period from 1 Jan </w:t>
      </w:r>
      <w:r w:rsidRPr="008C3D54">
        <w:rPr>
          <w:rFonts w:cstheme="minorHAnsi"/>
          <w:lang w:val="en-US"/>
        </w:rPr>
        <w:t>200</w:t>
      </w:r>
      <w:r w:rsidR="00A25072">
        <w:rPr>
          <w:rFonts w:cstheme="minorHAnsi"/>
          <w:lang w:val="en-US"/>
        </w:rPr>
        <w:t>8</w:t>
      </w:r>
      <w:r w:rsidRPr="008C3D54">
        <w:rPr>
          <w:rFonts w:cstheme="minorHAnsi"/>
          <w:lang w:val="en-US"/>
        </w:rPr>
        <w:t xml:space="preserve"> </w:t>
      </w:r>
      <w:r>
        <w:rPr>
          <w:rFonts w:cstheme="minorHAnsi"/>
          <w:lang w:val="en-US"/>
        </w:rPr>
        <w:t>to</w:t>
      </w:r>
      <w:r w:rsidRPr="008C3D54">
        <w:rPr>
          <w:rFonts w:cstheme="minorHAnsi"/>
          <w:lang w:val="en-US"/>
        </w:rPr>
        <w:t xml:space="preserve"> </w:t>
      </w:r>
      <w:r w:rsidR="00A25072">
        <w:rPr>
          <w:rFonts w:cstheme="minorHAnsi"/>
          <w:lang w:val="en-US"/>
        </w:rPr>
        <w:t xml:space="preserve">30 Jun </w:t>
      </w:r>
      <w:r w:rsidRPr="008C3D54">
        <w:rPr>
          <w:rFonts w:cstheme="minorHAnsi"/>
          <w:lang w:val="en-US"/>
        </w:rPr>
        <w:t>20</w:t>
      </w:r>
      <w:r w:rsidR="00A25072">
        <w:rPr>
          <w:rFonts w:cstheme="minorHAnsi"/>
          <w:lang w:val="en-US"/>
        </w:rPr>
        <w:t>10</w:t>
      </w:r>
      <w:r w:rsidRPr="008C3D54">
        <w:rPr>
          <w:rFonts w:cstheme="minorHAnsi"/>
          <w:lang w:val="en-US"/>
        </w:rPr>
        <w:t xml:space="preserve"> </w:t>
      </w:r>
      <w:r w:rsidR="00152BDC">
        <w:rPr>
          <w:rFonts w:cstheme="minorHAnsi"/>
          <w:lang w:val="en-US"/>
        </w:rPr>
        <w:t>w</w:t>
      </w:r>
      <w:r w:rsidR="00F069E9">
        <w:rPr>
          <w:rFonts w:cstheme="minorHAnsi"/>
          <w:lang w:val="en-US"/>
        </w:rPr>
        <w:t>as</w:t>
      </w:r>
      <w:r w:rsidRPr="008C3D54">
        <w:rPr>
          <w:rFonts w:cstheme="minorHAnsi"/>
          <w:lang w:val="en-US"/>
        </w:rPr>
        <w:t xml:space="preserve"> used as</w:t>
      </w:r>
      <w:r w:rsidR="00A25072">
        <w:rPr>
          <w:rFonts w:cstheme="minorHAnsi"/>
          <w:lang w:val="en-US"/>
        </w:rPr>
        <w:t xml:space="preserve"> a</w:t>
      </w:r>
      <w:r w:rsidRPr="008C3D54">
        <w:rPr>
          <w:rFonts w:cstheme="minorHAnsi"/>
          <w:lang w:val="en-US"/>
        </w:rPr>
        <w:t xml:space="preserve"> baseline </w:t>
      </w:r>
      <w:r w:rsidR="00A25072">
        <w:rPr>
          <w:rFonts w:cstheme="minorHAnsi"/>
          <w:lang w:val="en-US"/>
        </w:rPr>
        <w:t>period</w:t>
      </w:r>
      <w:r w:rsidRPr="008C3D54">
        <w:rPr>
          <w:rFonts w:cstheme="minorHAnsi"/>
          <w:lang w:val="en-US"/>
        </w:rPr>
        <w:t>)</w:t>
      </w:r>
      <w:r w:rsidRPr="008C3D54">
        <w:t xml:space="preserve">. </w:t>
      </w:r>
      <w:r w:rsidRPr="00BF0653">
        <w:rPr>
          <w:rFonts w:cstheme="minorHAnsi"/>
          <w:lang w:val="en-US"/>
        </w:rPr>
        <w:t xml:space="preserve">The initiators </w:t>
      </w:r>
      <w:r w:rsidR="00152BDC">
        <w:rPr>
          <w:rFonts w:cstheme="minorHAnsi"/>
          <w:lang w:val="en-US"/>
        </w:rPr>
        <w:t>were</w:t>
      </w:r>
      <w:r w:rsidRPr="00BF0653">
        <w:rPr>
          <w:rFonts w:cstheme="minorHAnsi"/>
          <w:lang w:val="en-US"/>
        </w:rPr>
        <w:t xml:space="preserve"> followed for five years</w:t>
      </w:r>
      <w:r>
        <w:rPr>
          <w:rFonts w:cstheme="minorHAnsi"/>
          <w:lang w:val="en-US"/>
        </w:rPr>
        <w:t>.</w:t>
      </w:r>
    </w:p>
    <w:p w14:paraId="2965FF1C" w14:textId="77777777" w:rsidR="001C7948" w:rsidRDefault="001C7948" w:rsidP="003D64B1">
      <w:pPr>
        <w:widowControl w:val="0"/>
      </w:pPr>
      <w:r w:rsidRPr="008C3D54">
        <w:rPr>
          <w:rFonts w:cstheme="minorHAnsi"/>
          <w:lang w:val="en-US"/>
        </w:rPr>
        <w:t xml:space="preserve">Kaplan Meier survival analysis </w:t>
      </w:r>
      <w:r w:rsidR="00152BDC">
        <w:rPr>
          <w:rFonts w:cstheme="minorHAnsi"/>
          <w:lang w:val="en-US"/>
        </w:rPr>
        <w:t>was</w:t>
      </w:r>
      <w:r w:rsidRPr="008C3D54">
        <w:rPr>
          <w:rFonts w:cstheme="minorHAnsi"/>
          <w:lang w:val="en-US"/>
        </w:rPr>
        <w:t xml:space="preserve"> conducted to estimate the duration of the first </w:t>
      </w:r>
      <w:r>
        <w:rPr>
          <w:rFonts w:cstheme="minorHAnsi"/>
          <w:lang w:val="en-US"/>
        </w:rPr>
        <w:t xml:space="preserve">treatment </w:t>
      </w:r>
      <w:r w:rsidRPr="008C3D54">
        <w:rPr>
          <w:rFonts w:cstheme="minorHAnsi"/>
          <w:lang w:val="en-US"/>
        </w:rPr>
        <w:t xml:space="preserve">episode. The study end point </w:t>
      </w:r>
      <w:r w:rsidR="00152BDC">
        <w:rPr>
          <w:rFonts w:cstheme="minorHAnsi"/>
          <w:lang w:val="en-US"/>
        </w:rPr>
        <w:t>was</w:t>
      </w:r>
      <w:r w:rsidRPr="008C3D54">
        <w:rPr>
          <w:rFonts w:cstheme="minorHAnsi"/>
          <w:lang w:val="en-US"/>
        </w:rPr>
        <w:t xml:space="preserve"> the time to discontinuation of the </w:t>
      </w:r>
      <w:r>
        <w:rPr>
          <w:rFonts w:cstheme="minorHAnsi"/>
          <w:lang w:val="en-US"/>
        </w:rPr>
        <w:t>first</w:t>
      </w:r>
      <w:r w:rsidRPr="008C3D54">
        <w:rPr>
          <w:rFonts w:cstheme="minorHAnsi"/>
          <w:lang w:val="en-US"/>
        </w:rPr>
        <w:t xml:space="preserve"> </w:t>
      </w:r>
      <w:r>
        <w:rPr>
          <w:rFonts w:cstheme="minorHAnsi"/>
          <w:lang w:val="en-US"/>
        </w:rPr>
        <w:t>therapy</w:t>
      </w:r>
      <w:r w:rsidRPr="008C3D54">
        <w:rPr>
          <w:rFonts w:cstheme="minorHAnsi"/>
          <w:lang w:val="en-US"/>
        </w:rPr>
        <w:t xml:space="preserve"> due to </w:t>
      </w:r>
      <w:r>
        <w:rPr>
          <w:rFonts w:cstheme="minorHAnsi"/>
          <w:lang w:val="en-US"/>
        </w:rPr>
        <w:t>cessation, defined as</w:t>
      </w:r>
      <w:r w:rsidRPr="00FC4DEE">
        <w:rPr>
          <w:rFonts w:cstheme="minorHAnsi"/>
          <w:lang w:val="en-US"/>
        </w:rPr>
        <w:t xml:space="preserve"> a gap in refill based on the length of the estimated prescription duration which </w:t>
      </w:r>
      <w:r w:rsidR="005750D1">
        <w:rPr>
          <w:rFonts w:cstheme="minorHAnsi"/>
          <w:lang w:val="en-US"/>
        </w:rPr>
        <w:t>was</w:t>
      </w:r>
      <w:r w:rsidRPr="00FC4DEE">
        <w:rPr>
          <w:rFonts w:cstheme="minorHAnsi"/>
          <w:lang w:val="en-US"/>
        </w:rPr>
        <w:t xml:space="preserve"> </w:t>
      </w:r>
      <w:r w:rsidRPr="00FC4DEE">
        <w:t>calculated from the data and reflect</w:t>
      </w:r>
      <w:r>
        <w:t>s</w:t>
      </w:r>
      <w:r w:rsidRPr="00FC4DEE">
        <w:t xml:space="preserve"> the time period within which 75% of people returned for a repeat prescription. </w:t>
      </w:r>
      <w:r>
        <w:t>G</w:t>
      </w:r>
      <w:r w:rsidRPr="00FC4DEE">
        <w:t xml:space="preserve">aps </w:t>
      </w:r>
      <w:r>
        <w:t xml:space="preserve">which </w:t>
      </w:r>
      <w:r w:rsidR="005750D1">
        <w:t>we</w:t>
      </w:r>
      <w:r>
        <w:t>re</w:t>
      </w:r>
      <w:r w:rsidRPr="00FC4DEE">
        <w:t xml:space="preserve"> &gt;= </w:t>
      </w:r>
      <w:r>
        <w:t>two</w:t>
      </w:r>
      <w:r w:rsidRPr="00FC4DEE">
        <w:rPr>
          <w:rFonts w:cstheme="minorHAnsi"/>
          <w:lang w:val="en-US"/>
        </w:rPr>
        <w:t xml:space="preserve"> times the length of the estimated prescription duration </w:t>
      </w:r>
      <w:r w:rsidR="00152BDC">
        <w:rPr>
          <w:rFonts w:cstheme="minorHAnsi"/>
          <w:lang w:val="en-US"/>
        </w:rPr>
        <w:t>were</w:t>
      </w:r>
      <w:r>
        <w:rPr>
          <w:rFonts w:cstheme="minorHAnsi"/>
          <w:lang w:val="en-US"/>
        </w:rPr>
        <w:t xml:space="preserve"> considered to represent cessation. </w:t>
      </w:r>
      <w:r w:rsidRPr="008C3D54">
        <w:t xml:space="preserve">Persons </w:t>
      </w:r>
      <w:r w:rsidR="00152BDC">
        <w:t>were</w:t>
      </w:r>
      <w:r w:rsidRPr="008C3D54">
        <w:t xml:space="preserve"> followed up until cessation or end of follow-up (five years post index prescription). Persons who ceased therapy before the end of 5 years are reported as “event” persons</w:t>
      </w:r>
      <w:r w:rsidR="00454055">
        <w:t xml:space="preserve">. </w:t>
      </w:r>
      <w:r w:rsidR="00A25072">
        <w:t>Death data was not available and accounted for.</w:t>
      </w:r>
    </w:p>
    <w:p w14:paraId="48F8B0A9" w14:textId="75FAFA27" w:rsidR="001C7948" w:rsidRDefault="001C7948" w:rsidP="003D64B1">
      <w:pPr>
        <w:widowControl w:val="0"/>
        <w:rPr>
          <w:rFonts w:cstheme="minorHAnsi"/>
          <w:lang w:val="en-US"/>
        </w:rPr>
      </w:pPr>
      <w:r>
        <w:rPr>
          <w:rFonts w:cstheme="minorHAnsi"/>
          <w:lang w:val="en-US"/>
        </w:rPr>
        <w:t>T</w:t>
      </w:r>
      <w:r w:rsidRPr="008C3D54">
        <w:rPr>
          <w:rFonts w:cstheme="minorHAnsi"/>
          <w:lang w:val="en-US"/>
        </w:rPr>
        <w:t xml:space="preserve">he average number of </w:t>
      </w:r>
      <w:r>
        <w:rPr>
          <w:rFonts w:cstheme="minorHAnsi"/>
          <w:lang w:val="en-US"/>
        </w:rPr>
        <w:t>separate episodes with PBS subsidi</w:t>
      </w:r>
      <w:r w:rsidR="00171165">
        <w:rPr>
          <w:rFonts w:cstheme="minorHAnsi"/>
          <w:lang w:val="en-US"/>
        </w:rPr>
        <w:t>s</w:t>
      </w:r>
      <w:r>
        <w:rPr>
          <w:rFonts w:cstheme="minorHAnsi"/>
          <w:lang w:val="en-US"/>
        </w:rPr>
        <w:t xml:space="preserve">ed treatment per person </w:t>
      </w:r>
      <w:r w:rsidRPr="008C3D54">
        <w:rPr>
          <w:rFonts w:cstheme="minorHAnsi"/>
          <w:lang w:val="en-US"/>
        </w:rPr>
        <w:t xml:space="preserve">from initiation </w:t>
      </w:r>
      <w:r>
        <w:rPr>
          <w:rFonts w:cstheme="minorHAnsi"/>
          <w:lang w:val="en-US"/>
        </w:rPr>
        <w:t xml:space="preserve">to </w:t>
      </w:r>
      <w:r w:rsidRPr="008C3D54">
        <w:rPr>
          <w:rFonts w:cstheme="minorHAnsi"/>
          <w:lang w:val="en-US"/>
        </w:rPr>
        <w:t xml:space="preserve">end of last treatment episode </w:t>
      </w:r>
      <w:r w:rsidR="005750D1">
        <w:rPr>
          <w:rFonts w:cstheme="minorHAnsi"/>
          <w:lang w:val="en-US"/>
        </w:rPr>
        <w:t>was</w:t>
      </w:r>
      <w:r>
        <w:rPr>
          <w:rFonts w:cstheme="minorHAnsi"/>
          <w:lang w:val="en-US"/>
        </w:rPr>
        <w:t xml:space="preserve"> </w:t>
      </w:r>
      <w:r w:rsidRPr="008C3D54">
        <w:rPr>
          <w:rFonts w:cstheme="minorHAnsi"/>
          <w:lang w:val="en-US"/>
        </w:rPr>
        <w:t xml:space="preserve">reported. </w:t>
      </w:r>
      <w:r>
        <w:rPr>
          <w:rFonts w:cstheme="minorHAnsi"/>
          <w:lang w:val="en-US"/>
        </w:rPr>
        <w:t xml:space="preserve">Separate episodes are episodes separated by gaps as defined above. </w:t>
      </w:r>
      <w:r w:rsidRPr="008C3D54">
        <w:rPr>
          <w:rFonts w:cstheme="minorHAnsi"/>
          <w:lang w:val="en-US"/>
        </w:rPr>
        <w:t xml:space="preserve">The median duration of individual </w:t>
      </w:r>
      <w:r>
        <w:rPr>
          <w:rFonts w:cstheme="minorHAnsi"/>
          <w:lang w:val="en-US"/>
        </w:rPr>
        <w:t xml:space="preserve">episodes </w:t>
      </w:r>
      <w:r w:rsidR="00152BDC">
        <w:rPr>
          <w:rFonts w:cstheme="minorHAnsi"/>
          <w:lang w:val="en-US"/>
        </w:rPr>
        <w:t xml:space="preserve">was </w:t>
      </w:r>
      <w:r>
        <w:rPr>
          <w:rFonts w:cstheme="minorHAnsi"/>
          <w:lang w:val="en-US"/>
        </w:rPr>
        <w:t xml:space="preserve">estimated using Kaplan Meier analysis to determine the median time </w:t>
      </w:r>
      <w:r w:rsidR="005750D1">
        <w:rPr>
          <w:rFonts w:cstheme="minorHAnsi"/>
          <w:lang w:val="en-US"/>
        </w:rPr>
        <w:t>of</w:t>
      </w:r>
      <w:r>
        <w:rPr>
          <w:rFonts w:cstheme="minorHAnsi"/>
          <w:lang w:val="en-US"/>
        </w:rPr>
        <w:t xml:space="preserve"> individual treatment episode</w:t>
      </w:r>
      <w:r w:rsidR="005750D1">
        <w:rPr>
          <w:rFonts w:cstheme="minorHAnsi"/>
          <w:lang w:val="en-US"/>
        </w:rPr>
        <w:t>s</w:t>
      </w:r>
      <w:r>
        <w:rPr>
          <w:rFonts w:cstheme="minorHAnsi"/>
          <w:lang w:val="en-US"/>
        </w:rPr>
        <w:t xml:space="preserve">. </w:t>
      </w:r>
    </w:p>
    <w:p w14:paraId="079E14EC" w14:textId="77777777" w:rsidR="001C7948" w:rsidRDefault="001C7948" w:rsidP="003D64B1">
      <w:pPr>
        <w:widowControl w:val="0"/>
        <w:rPr>
          <w:rFonts w:cstheme="minorHAnsi"/>
          <w:lang w:val="en-US"/>
        </w:rPr>
      </w:pPr>
      <w:r>
        <w:rPr>
          <w:rFonts w:cstheme="minorHAnsi"/>
          <w:lang w:val="en-US"/>
        </w:rPr>
        <w:t>T</w:t>
      </w:r>
      <w:r w:rsidRPr="008C3D54">
        <w:rPr>
          <w:rFonts w:cstheme="minorHAnsi"/>
          <w:lang w:val="en-US"/>
        </w:rPr>
        <w:t xml:space="preserve">he average number of gaps </w:t>
      </w:r>
      <w:r>
        <w:rPr>
          <w:rFonts w:cstheme="minorHAnsi"/>
          <w:lang w:val="en-US"/>
        </w:rPr>
        <w:t xml:space="preserve">per person </w:t>
      </w:r>
      <w:r w:rsidRPr="008C3D54">
        <w:rPr>
          <w:rFonts w:cstheme="minorHAnsi"/>
          <w:lang w:val="en-US"/>
        </w:rPr>
        <w:t xml:space="preserve">(breaks from treatment) from initiation </w:t>
      </w:r>
      <w:r>
        <w:rPr>
          <w:rFonts w:cstheme="minorHAnsi"/>
          <w:lang w:val="en-US"/>
        </w:rPr>
        <w:t xml:space="preserve">to </w:t>
      </w:r>
      <w:r w:rsidRPr="008C3D54">
        <w:rPr>
          <w:rFonts w:cstheme="minorHAnsi"/>
          <w:lang w:val="en-US"/>
        </w:rPr>
        <w:t xml:space="preserve">end of last treatment episode </w:t>
      </w:r>
      <w:r w:rsidR="00152BDC">
        <w:rPr>
          <w:rFonts w:cstheme="minorHAnsi"/>
          <w:lang w:val="en-US"/>
        </w:rPr>
        <w:t>were</w:t>
      </w:r>
      <w:r>
        <w:rPr>
          <w:rFonts w:cstheme="minorHAnsi"/>
          <w:lang w:val="en-US"/>
        </w:rPr>
        <w:t xml:space="preserve"> </w:t>
      </w:r>
      <w:r w:rsidRPr="008C3D54">
        <w:rPr>
          <w:rFonts w:cstheme="minorHAnsi"/>
          <w:lang w:val="en-US"/>
        </w:rPr>
        <w:t>reported. The median duration of the individual gaps</w:t>
      </w:r>
      <w:r>
        <w:rPr>
          <w:rFonts w:cstheme="minorHAnsi"/>
          <w:lang w:val="en-US"/>
        </w:rPr>
        <w:t xml:space="preserve"> </w:t>
      </w:r>
      <w:r w:rsidR="00152BDC">
        <w:rPr>
          <w:rFonts w:cstheme="minorHAnsi"/>
          <w:lang w:val="en-US"/>
        </w:rPr>
        <w:t>was</w:t>
      </w:r>
      <w:r>
        <w:rPr>
          <w:rFonts w:cstheme="minorHAnsi"/>
          <w:lang w:val="en-US"/>
        </w:rPr>
        <w:t xml:space="preserve"> estimated using Kaplan Meier analysis to determine the median time to restart of therapy. </w:t>
      </w:r>
    </w:p>
    <w:p w14:paraId="569546D3" w14:textId="77777777" w:rsidR="001C7948" w:rsidRPr="00D15E9A" w:rsidRDefault="001C7948" w:rsidP="00D15E9A">
      <w:pPr>
        <w:rPr>
          <w:b/>
          <w:bCs/>
        </w:rPr>
      </w:pPr>
      <w:r w:rsidRPr="00D15E9A">
        <w:rPr>
          <w:b/>
          <w:bCs/>
        </w:rPr>
        <w:t xml:space="preserve">8) Consistency with PBS restrictions </w:t>
      </w:r>
    </w:p>
    <w:p w14:paraId="37CAE31F" w14:textId="77777777" w:rsidR="001C7948" w:rsidRDefault="001C7948" w:rsidP="003D64B1">
      <w:pPr>
        <w:shd w:val="clear" w:color="auto" w:fill="FFFFFF"/>
        <w:rPr>
          <w:rFonts w:cstheme="minorHAnsi"/>
        </w:rPr>
      </w:pPr>
      <w:r>
        <w:rPr>
          <w:rFonts w:cstheme="minorHAnsi"/>
        </w:rPr>
        <w:t>General and concessional beneficiaries are permitted up to 12 weeks’ supply of PBS subsidised NRT each year [1</w:t>
      </w:r>
      <w:r w:rsidR="00B578BD">
        <w:rPr>
          <w:rFonts w:cstheme="minorHAnsi"/>
        </w:rPr>
        <w:t>4</w:t>
      </w:r>
      <w:r>
        <w:rPr>
          <w:rFonts w:cstheme="minorHAnsi"/>
        </w:rPr>
        <w:t>]. For varenicline, the PBS restrictions allow up to 24 weeks of treatment per 12-month period [1</w:t>
      </w:r>
      <w:r w:rsidR="00B578BD">
        <w:rPr>
          <w:rFonts w:cstheme="minorHAnsi"/>
        </w:rPr>
        <w:t>5</w:t>
      </w:r>
      <w:r>
        <w:rPr>
          <w:rFonts w:cstheme="minorHAnsi"/>
        </w:rPr>
        <w:t>]. Up to 9 weeks of treatment per year is allowed under the PBS for bupropion [1</w:t>
      </w:r>
      <w:r w:rsidR="00B578BD">
        <w:rPr>
          <w:rFonts w:cstheme="minorHAnsi"/>
        </w:rPr>
        <w:t>6</w:t>
      </w:r>
      <w:r>
        <w:rPr>
          <w:rFonts w:cstheme="minorHAnsi"/>
        </w:rPr>
        <w:t>].</w:t>
      </w:r>
    </w:p>
    <w:p w14:paraId="7D77E743" w14:textId="385B9F35" w:rsidR="00A96813" w:rsidRDefault="001C7948" w:rsidP="00A96813">
      <w:pPr>
        <w:rPr>
          <w:rFonts w:cstheme="minorHAnsi"/>
        </w:rPr>
      </w:pPr>
      <w:r>
        <w:rPr>
          <w:rFonts w:cstheme="minorHAnsi"/>
        </w:rPr>
        <w:t xml:space="preserve">To determine compliance with the maximum allowed restriction requirement, the number of people supplied </w:t>
      </w:r>
      <w:r w:rsidR="005750D1">
        <w:rPr>
          <w:rFonts w:cstheme="minorHAnsi"/>
        </w:rPr>
        <w:t xml:space="preserve">their </w:t>
      </w:r>
      <w:r>
        <w:rPr>
          <w:rFonts w:cstheme="minorHAnsi"/>
        </w:rPr>
        <w:t xml:space="preserve">first ever PBS subsidised NRT, varenicline or bupropion therapy between 2015 and 2019 </w:t>
      </w:r>
      <w:r w:rsidR="00152BDC">
        <w:rPr>
          <w:rFonts w:cstheme="minorHAnsi"/>
        </w:rPr>
        <w:t>was</w:t>
      </w:r>
      <w:r>
        <w:rPr>
          <w:rFonts w:cstheme="minorHAnsi"/>
        </w:rPr>
        <w:t xml:space="preserve"> determined. Then, the proportion in each year who received one, two, three or more prescriptions </w:t>
      </w:r>
      <w:r w:rsidR="00152BDC">
        <w:rPr>
          <w:rFonts w:cstheme="minorHAnsi"/>
        </w:rPr>
        <w:t>was</w:t>
      </w:r>
      <w:r>
        <w:rPr>
          <w:rFonts w:cstheme="minorHAnsi"/>
        </w:rPr>
        <w:t xml:space="preserve"> determined. </w:t>
      </w:r>
      <w:r w:rsidR="00A96813">
        <w:rPr>
          <w:rFonts w:cstheme="minorHAnsi"/>
        </w:rPr>
        <w:t>The weeks of coverage were then based on:</w:t>
      </w:r>
    </w:p>
    <w:p w14:paraId="7BEFEEB8" w14:textId="2DF7839B" w:rsidR="00A96813" w:rsidRPr="00753139" w:rsidRDefault="00A96813" w:rsidP="00A96813">
      <w:pPr>
        <w:pStyle w:val="ListParagraph"/>
        <w:numPr>
          <w:ilvl w:val="0"/>
          <w:numId w:val="4"/>
        </w:numPr>
        <w:rPr>
          <w:rFonts w:asciiTheme="minorHAnsi" w:hAnsiTheme="minorHAnsi" w:cstheme="minorHAnsi"/>
        </w:rPr>
      </w:pPr>
      <w:r w:rsidRPr="00753139">
        <w:rPr>
          <w:rFonts w:asciiTheme="minorHAnsi" w:hAnsiTheme="minorHAnsi" w:cstheme="minorHAnsi"/>
        </w:rPr>
        <w:t xml:space="preserve">For NRT </w:t>
      </w:r>
      <w:r>
        <w:rPr>
          <w:rFonts w:asciiTheme="minorHAnsi" w:hAnsiTheme="minorHAnsi" w:cstheme="minorHAnsi"/>
        </w:rPr>
        <w:t>all</w:t>
      </w:r>
      <w:r w:rsidRPr="00753139">
        <w:rPr>
          <w:rFonts w:asciiTheme="minorHAnsi" w:hAnsiTheme="minorHAnsi" w:cstheme="minorHAnsi"/>
        </w:rPr>
        <w:t xml:space="preserve"> prescription</w:t>
      </w:r>
      <w:r>
        <w:rPr>
          <w:rFonts w:asciiTheme="minorHAnsi" w:hAnsiTheme="minorHAnsi" w:cstheme="minorHAnsi"/>
        </w:rPr>
        <w:t>s</w:t>
      </w:r>
      <w:r w:rsidRPr="00753139">
        <w:rPr>
          <w:rFonts w:asciiTheme="minorHAnsi" w:hAnsiTheme="minorHAnsi" w:cstheme="minorHAnsi"/>
        </w:rPr>
        <w:t xml:space="preserve"> correlate</w:t>
      </w:r>
      <w:r w:rsidRPr="00F366F4">
        <w:rPr>
          <w:rFonts w:asciiTheme="minorHAnsi" w:hAnsiTheme="minorHAnsi"/>
        </w:rPr>
        <w:t xml:space="preserve"> to four weeks coverage</w:t>
      </w:r>
      <w:r>
        <w:rPr>
          <w:rFonts w:asciiTheme="minorHAnsi" w:hAnsiTheme="minorHAnsi" w:cstheme="minorHAnsi"/>
        </w:rPr>
        <w:t>; t</w:t>
      </w:r>
      <w:r w:rsidRPr="00753139">
        <w:rPr>
          <w:rFonts w:asciiTheme="minorHAnsi" w:hAnsiTheme="minorHAnsi" w:cstheme="minorHAnsi"/>
        </w:rPr>
        <w:t>here are no specific starter packs for NRT.</w:t>
      </w:r>
    </w:p>
    <w:p w14:paraId="3EA612F0" w14:textId="0B809280" w:rsidR="00A96813" w:rsidRPr="00753139" w:rsidRDefault="00A96813" w:rsidP="00A96813">
      <w:pPr>
        <w:pStyle w:val="ListParagraph"/>
        <w:numPr>
          <w:ilvl w:val="0"/>
          <w:numId w:val="4"/>
        </w:numPr>
        <w:rPr>
          <w:rFonts w:asciiTheme="minorHAnsi" w:hAnsiTheme="minorHAnsi" w:cstheme="minorHAnsi"/>
        </w:rPr>
      </w:pPr>
      <w:r w:rsidRPr="00753139">
        <w:rPr>
          <w:rFonts w:asciiTheme="minorHAnsi" w:hAnsiTheme="minorHAnsi" w:cstheme="minorHAnsi"/>
        </w:rPr>
        <w:t>Varenicline starter pack</w:t>
      </w:r>
      <w:r w:rsidRPr="00F366F4">
        <w:rPr>
          <w:rFonts w:asciiTheme="minorHAnsi" w:hAnsiTheme="minorHAnsi"/>
        </w:rPr>
        <w:t xml:space="preserve"> correlates to </w:t>
      </w:r>
      <w:r w:rsidRPr="00753139">
        <w:rPr>
          <w:rFonts w:asciiTheme="minorHAnsi" w:hAnsiTheme="minorHAnsi" w:cstheme="minorHAnsi"/>
        </w:rPr>
        <w:t xml:space="preserve">4 weeks of coverage, continuation packs are for </w:t>
      </w:r>
      <w:r w:rsidRPr="00F366F4">
        <w:rPr>
          <w:rFonts w:asciiTheme="minorHAnsi" w:hAnsiTheme="minorHAnsi"/>
        </w:rPr>
        <w:t>8 weeks</w:t>
      </w:r>
      <w:r w:rsidRPr="00753139">
        <w:rPr>
          <w:rFonts w:asciiTheme="minorHAnsi" w:hAnsiTheme="minorHAnsi" w:cstheme="minorHAnsi"/>
        </w:rPr>
        <w:t>, and completion packs are for 4 weeks but with 2 repeats allowed.</w:t>
      </w:r>
    </w:p>
    <w:p w14:paraId="0431520A" w14:textId="13CA1ADA" w:rsidR="00A96813" w:rsidRDefault="00A96813" w:rsidP="00A96813">
      <w:pPr>
        <w:pStyle w:val="ListParagraph"/>
        <w:numPr>
          <w:ilvl w:val="0"/>
          <w:numId w:val="4"/>
        </w:numPr>
        <w:rPr>
          <w:rFonts w:asciiTheme="minorHAnsi" w:hAnsiTheme="minorHAnsi" w:cstheme="minorHAnsi"/>
        </w:rPr>
      </w:pPr>
      <w:r w:rsidRPr="00753139">
        <w:rPr>
          <w:rFonts w:asciiTheme="minorHAnsi" w:hAnsiTheme="minorHAnsi" w:cstheme="minorHAnsi"/>
        </w:rPr>
        <w:t>A starter pack for bupropion last</w:t>
      </w:r>
      <w:r>
        <w:rPr>
          <w:rFonts w:asciiTheme="minorHAnsi" w:hAnsiTheme="minorHAnsi" w:cstheme="minorHAnsi"/>
        </w:rPr>
        <w:t>s</w:t>
      </w:r>
      <w:r w:rsidRPr="00753139">
        <w:rPr>
          <w:rFonts w:asciiTheme="minorHAnsi" w:hAnsiTheme="minorHAnsi" w:cstheme="minorHAnsi"/>
        </w:rPr>
        <w:t xml:space="preserve"> for 2 weeks, while a completion pack lasts </w:t>
      </w:r>
      <w:r>
        <w:rPr>
          <w:rFonts w:asciiTheme="minorHAnsi" w:hAnsiTheme="minorHAnsi" w:cstheme="minorHAnsi"/>
        </w:rPr>
        <w:t xml:space="preserve">for </w:t>
      </w:r>
      <w:r w:rsidRPr="00753139">
        <w:rPr>
          <w:rFonts w:asciiTheme="minorHAnsi" w:hAnsiTheme="minorHAnsi" w:cstheme="minorHAnsi"/>
        </w:rPr>
        <w:t xml:space="preserve">6 weeks. </w:t>
      </w:r>
    </w:p>
    <w:p w14:paraId="4B74CCD9" w14:textId="77777777" w:rsidR="008552A6" w:rsidRDefault="008552A6" w:rsidP="008552A6">
      <w:pPr>
        <w:pStyle w:val="ListParagraph"/>
        <w:rPr>
          <w:rFonts w:asciiTheme="minorHAnsi" w:hAnsiTheme="minorHAnsi" w:cstheme="minorHAnsi"/>
        </w:rPr>
      </w:pPr>
    </w:p>
    <w:p w14:paraId="7324FCBB" w14:textId="33CF0416" w:rsidR="001C7948" w:rsidRDefault="001C7948" w:rsidP="003D64B1">
      <w:pPr>
        <w:shd w:val="clear" w:color="auto" w:fill="FFFFFF"/>
        <w:rPr>
          <w:rFonts w:cstheme="minorHAnsi"/>
        </w:rPr>
      </w:pPr>
      <w:r>
        <w:rPr>
          <w:rFonts w:cstheme="minorHAnsi"/>
        </w:rPr>
        <w:t xml:space="preserve">People supplied smoking cessation medicines under the Closing </w:t>
      </w:r>
      <w:r w:rsidR="00F266DF">
        <w:rPr>
          <w:rFonts w:cstheme="minorHAnsi"/>
        </w:rPr>
        <w:t>the</w:t>
      </w:r>
      <w:r>
        <w:rPr>
          <w:rFonts w:cstheme="minorHAnsi"/>
        </w:rPr>
        <w:t xml:space="preserve"> Gap </w:t>
      </w:r>
      <w:r w:rsidR="0012280F">
        <w:rPr>
          <w:rFonts w:cstheme="minorHAnsi"/>
        </w:rPr>
        <w:t>Co-Payment Measure program</w:t>
      </w:r>
      <w:r>
        <w:rPr>
          <w:rFonts w:cstheme="minorHAnsi"/>
        </w:rPr>
        <w:t xml:space="preserve"> </w:t>
      </w:r>
      <w:r w:rsidR="00152BDC">
        <w:rPr>
          <w:rFonts w:cstheme="minorHAnsi"/>
        </w:rPr>
        <w:t>were</w:t>
      </w:r>
      <w:r>
        <w:rPr>
          <w:rFonts w:cstheme="minorHAnsi"/>
        </w:rPr>
        <w:t xml:space="preserve"> excluded as they are permitted more courses of treatment every twelve month</w:t>
      </w:r>
      <w:r w:rsidR="00F266DF">
        <w:rPr>
          <w:rFonts w:cstheme="minorHAnsi"/>
        </w:rPr>
        <w:t>s</w:t>
      </w:r>
      <w:r>
        <w:rPr>
          <w:rFonts w:cstheme="minorHAnsi"/>
        </w:rPr>
        <w:t xml:space="preserve">. People with repatriation patient category </w:t>
      </w:r>
      <w:r w:rsidR="00152BDC">
        <w:rPr>
          <w:rFonts w:cstheme="minorHAnsi"/>
        </w:rPr>
        <w:t>were</w:t>
      </w:r>
      <w:r>
        <w:rPr>
          <w:rFonts w:cstheme="minorHAnsi"/>
        </w:rPr>
        <w:t xml:space="preserve"> also excluded as there is no restriction on the number of courses permitted per year.</w:t>
      </w:r>
    </w:p>
    <w:p w14:paraId="6D008D7D" w14:textId="77777777" w:rsidR="00F069E9" w:rsidRDefault="00F069E9">
      <w:pPr>
        <w:spacing w:after="0"/>
        <w:rPr>
          <w:rFonts w:cstheme="minorHAnsi"/>
        </w:rPr>
      </w:pPr>
      <w:r>
        <w:rPr>
          <w:rFonts w:cstheme="minorHAnsi"/>
        </w:rPr>
        <w:br w:type="page"/>
      </w:r>
    </w:p>
    <w:p w14:paraId="4940E27B" w14:textId="515979F8" w:rsidR="00032349" w:rsidRPr="00486248" w:rsidRDefault="00486248" w:rsidP="00F366F4">
      <w:pPr>
        <w:pStyle w:val="Heading2"/>
        <w:rPr>
          <w:rFonts w:asciiTheme="minorHAnsi" w:hAnsiTheme="minorHAnsi" w:cstheme="minorHAnsi"/>
          <w:color w:val="4F81BD" w:themeColor="accent1"/>
          <w:sz w:val="40"/>
          <w:szCs w:val="40"/>
        </w:rPr>
      </w:pPr>
      <w:bookmarkStart w:id="41" w:name="_Toc72840895"/>
      <w:r>
        <w:rPr>
          <w:rFonts w:asciiTheme="minorHAnsi" w:hAnsiTheme="minorHAnsi" w:cstheme="minorHAnsi"/>
          <w:i w:val="0"/>
          <w:color w:val="4F81BD" w:themeColor="accent1"/>
          <w:sz w:val="40"/>
          <w:szCs w:val="40"/>
        </w:rPr>
        <w:t>2.4</w:t>
      </w:r>
      <w:r w:rsidR="0061661B" w:rsidRPr="00486248">
        <w:rPr>
          <w:rFonts w:asciiTheme="minorHAnsi" w:hAnsiTheme="minorHAnsi" w:cstheme="minorHAnsi"/>
          <w:i w:val="0"/>
          <w:color w:val="4F81BD" w:themeColor="accent1"/>
          <w:sz w:val="40"/>
          <w:szCs w:val="40"/>
        </w:rPr>
        <w:t xml:space="preserve"> </w:t>
      </w:r>
      <w:r w:rsidR="00032349" w:rsidRPr="00486248">
        <w:rPr>
          <w:rFonts w:asciiTheme="minorHAnsi" w:hAnsiTheme="minorHAnsi" w:cstheme="minorHAnsi"/>
          <w:i w:val="0"/>
          <w:color w:val="4F81BD" w:themeColor="accent1"/>
          <w:sz w:val="40"/>
          <w:szCs w:val="40"/>
        </w:rPr>
        <w:t>Results</w:t>
      </w:r>
      <w:bookmarkEnd w:id="41"/>
    </w:p>
    <w:p w14:paraId="593D5C14" w14:textId="1395BAF5" w:rsidR="001C7948" w:rsidRPr="00847FD3" w:rsidRDefault="00486248" w:rsidP="00847FD3">
      <w:pPr>
        <w:pStyle w:val="Heading3"/>
        <w:rPr>
          <w:rFonts w:asciiTheme="minorHAnsi" w:hAnsiTheme="minorHAnsi" w:cstheme="minorHAnsi"/>
          <w:b/>
          <w:i/>
          <w:iCs/>
          <w:sz w:val="28"/>
          <w:szCs w:val="28"/>
        </w:rPr>
      </w:pPr>
      <w:bookmarkStart w:id="42" w:name="_Toc72840896"/>
      <w:r>
        <w:rPr>
          <w:rFonts w:asciiTheme="minorHAnsi" w:hAnsiTheme="minorHAnsi" w:cstheme="minorHAnsi"/>
          <w:b/>
          <w:i/>
          <w:sz w:val="28"/>
          <w:szCs w:val="28"/>
        </w:rPr>
        <w:t>2.4</w:t>
      </w:r>
      <w:r w:rsidR="0061661B" w:rsidRPr="00847FD3">
        <w:rPr>
          <w:rFonts w:asciiTheme="minorHAnsi" w:hAnsiTheme="minorHAnsi" w:cstheme="minorHAnsi"/>
          <w:b/>
          <w:i/>
          <w:sz w:val="28"/>
          <w:szCs w:val="28"/>
        </w:rPr>
        <w:t xml:space="preserve">.1 </w:t>
      </w:r>
      <w:r w:rsidR="00141886" w:rsidRPr="00847FD3">
        <w:rPr>
          <w:rFonts w:asciiTheme="minorHAnsi" w:hAnsiTheme="minorHAnsi" w:cstheme="minorHAnsi"/>
          <w:b/>
          <w:i/>
          <w:sz w:val="28"/>
          <w:szCs w:val="28"/>
        </w:rPr>
        <w:t>Overall trends in utilisation and cost of smoking cessation medicines in Australia</w:t>
      </w:r>
      <w:bookmarkEnd w:id="42"/>
    </w:p>
    <w:p w14:paraId="22024B7A" w14:textId="77777777" w:rsidR="006A638F" w:rsidRPr="006A638F" w:rsidRDefault="006A638F" w:rsidP="006A638F">
      <w:pPr>
        <w:rPr>
          <w:b/>
          <w:bCs/>
          <w:lang w:eastAsia="en-US"/>
        </w:rPr>
      </w:pPr>
      <w:r w:rsidRPr="006A638F">
        <w:rPr>
          <w:b/>
          <w:bCs/>
          <w:lang w:eastAsia="en-US"/>
        </w:rPr>
        <w:t>Overall utilisation</w:t>
      </w:r>
    </w:p>
    <w:p w14:paraId="4D16437D" w14:textId="77777777" w:rsidR="00F602A5" w:rsidRDefault="00F602A5" w:rsidP="00F602A5">
      <w:pPr>
        <w:rPr>
          <w:lang w:eastAsia="en-US"/>
        </w:rPr>
      </w:pPr>
      <w:r>
        <w:rPr>
          <w:lang w:eastAsia="en-US"/>
        </w:rPr>
        <w:t xml:space="preserve">Figure 1 presents the number of prescriptions supplied under </w:t>
      </w:r>
      <w:r w:rsidR="0081783D">
        <w:rPr>
          <w:lang w:eastAsia="en-US"/>
        </w:rPr>
        <w:t xml:space="preserve">the </w:t>
      </w:r>
      <w:r>
        <w:rPr>
          <w:lang w:eastAsia="en-US"/>
        </w:rPr>
        <w:t xml:space="preserve">PBS and RPBS by quarter from July 2010 to June 2020. Varenicline was the most </w:t>
      </w:r>
      <w:r w:rsidR="00E12A69">
        <w:rPr>
          <w:lang w:eastAsia="en-US"/>
        </w:rPr>
        <w:t>utilised smoking cessation therapy</w:t>
      </w:r>
      <w:r>
        <w:rPr>
          <w:lang w:eastAsia="en-US"/>
        </w:rPr>
        <w:t>, followed by nicotine replacement therapy.</w:t>
      </w:r>
    </w:p>
    <w:p w14:paraId="6A27E6C7" w14:textId="77777777" w:rsidR="00F602A5" w:rsidRDefault="00F602A5" w:rsidP="00A4095B">
      <w:pPr>
        <w:jc w:val="both"/>
        <w:rPr>
          <w:rFonts w:cstheme="minorHAnsi"/>
        </w:rPr>
      </w:pPr>
      <w:r>
        <w:rPr>
          <w:noProof/>
        </w:rPr>
        <w:drawing>
          <wp:inline distT="0" distB="0" distL="0" distR="0" wp14:anchorId="3EFC07DE" wp14:editId="65C6969B">
            <wp:extent cx="4905375" cy="3122762"/>
            <wp:effectExtent l="0" t="0" r="9525" b="1905"/>
            <wp:docPr id="15" name="Chart 15">
              <a:extLst xmlns:a="http://schemas.openxmlformats.org/drawingml/2006/main">
                <a:ext uri="{FF2B5EF4-FFF2-40B4-BE49-F238E27FC236}">
                  <a16:creationId xmlns:a16="http://schemas.microsoft.com/office/drawing/2014/main" id="{0F26C116-5612-44F8-B4EF-E5E2724B91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CD4E5E" w14:textId="77777777" w:rsidR="00F602A5" w:rsidRDefault="00F602A5" w:rsidP="00A4095B">
      <w:pPr>
        <w:jc w:val="both"/>
        <w:rPr>
          <w:rFonts w:cstheme="minorHAnsi"/>
        </w:rPr>
      </w:pPr>
      <w:r w:rsidRPr="00E12A69">
        <w:rPr>
          <w:rFonts w:cstheme="minorHAnsi"/>
          <w:b/>
          <w:bCs/>
        </w:rPr>
        <w:t>Figure 1.</w:t>
      </w:r>
      <w:r>
        <w:rPr>
          <w:rFonts w:cstheme="minorHAnsi"/>
        </w:rPr>
        <w:t xml:space="preserve">  Drug utilisation for R/PBS listed smoking cessation therapy per quarter from Jul 2010 to Jun 2020</w:t>
      </w:r>
    </w:p>
    <w:p w14:paraId="3A44191B" w14:textId="1F54EC64" w:rsidR="0081783D" w:rsidRDefault="0081783D" w:rsidP="0081783D">
      <w:pPr>
        <w:rPr>
          <w:lang w:eastAsia="en-US"/>
        </w:rPr>
      </w:pPr>
      <w:r>
        <w:rPr>
          <w:lang w:eastAsia="en-US"/>
        </w:rPr>
        <w:t>In 2019/2020, there were 542,492 prescriptions for smoking cessation therapies, which was down by 1.4% from 2018/2019 (N=550,103). In 2019/2020, 303,681 prescriptions were for varenicline</w:t>
      </w:r>
      <w:r w:rsidR="00DC5105">
        <w:rPr>
          <w:lang w:eastAsia="en-US"/>
        </w:rPr>
        <w:t xml:space="preserve"> (56% of market)</w:t>
      </w:r>
      <w:r>
        <w:rPr>
          <w:lang w:eastAsia="en-US"/>
        </w:rPr>
        <w:t>; 233,544 for NRT</w:t>
      </w:r>
      <w:r w:rsidR="00DC5105">
        <w:rPr>
          <w:lang w:eastAsia="en-US"/>
        </w:rPr>
        <w:t xml:space="preserve"> (43% of market)</w:t>
      </w:r>
      <w:r>
        <w:rPr>
          <w:lang w:eastAsia="en-US"/>
        </w:rPr>
        <w:t xml:space="preserve"> and 5</w:t>
      </w:r>
      <w:r w:rsidR="00B603E9">
        <w:rPr>
          <w:lang w:eastAsia="en-US"/>
        </w:rPr>
        <w:t>,</w:t>
      </w:r>
      <w:r>
        <w:rPr>
          <w:lang w:eastAsia="en-US"/>
        </w:rPr>
        <w:t>267 for bupropion (Figure 2</w:t>
      </w:r>
      <w:r w:rsidR="00F069E9">
        <w:rPr>
          <w:lang w:eastAsia="en-US"/>
        </w:rPr>
        <w:t xml:space="preserve"> and Figure 2</w:t>
      </w:r>
      <w:r w:rsidR="00F87142">
        <w:rPr>
          <w:lang w:eastAsia="en-US"/>
        </w:rPr>
        <w:t>a</w:t>
      </w:r>
      <w:r>
        <w:rPr>
          <w:lang w:eastAsia="en-US"/>
        </w:rPr>
        <w:t xml:space="preserve">). </w:t>
      </w:r>
    </w:p>
    <w:p w14:paraId="6183FA0C" w14:textId="77777777" w:rsidR="0081783D" w:rsidRDefault="0081783D" w:rsidP="00A4095B">
      <w:pPr>
        <w:jc w:val="both"/>
        <w:rPr>
          <w:rFonts w:cstheme="minorHAnsi"/>
        </w:rPr>
      </w:pPr>
    </w:p>
    <w:p w14:paraId="1F1C8503" w14:textId="5A0951D0" w:rsidR="00F602A5" w:rsidRDefault="00F602A5" w:rsidP="00721E95">
      <w:pPr>
        <w:jc w:val="both"/>
        <w:rPr>
          <w:rFonts w:cstheme="minorHAnsi"/>
        </w:rPr>
      </w:pPr>
    </w:p>
    <w:p w14:paraId="24279816" w14:textId="77777777" w:rsidR="00F32899" w:rsidRDefault="00F32899" w:rsidP="00A4095B">
      <w:pPr>
        <w:jc w:val="both"/>
        <w:rPr>
          <w:rFonts w:cstheme="minorHAnsi"/>
        </w:rPr>
      </w:pPr>
      <w:r>
        <w:rPr>
          <w:noProof/>
        </w:rPr>
        <w:drawing>
          <wp:inline distT="0" distB="0" distL="0" distR="0" wp14:anchorId="0E8C92AD" wp14:editId="41E3AC92">
            <wp:extent cx="5218430" cy="3219450"/>
            <wp:effectExtent l="0" t="0" r="1270" b="0"/>
            <wp:docPr id="36" name="Chart 36">
              <a:extLst xmlns:a="http://schemas.openxmlformats.org/drawingml/2006/main">
                <a:ext uri="{FF2B5EF4-FFF2-40B4-BE49-F238E27FC236}">
                  <a16:creationId xmlns:a16="http://schemas.microsoft.com/office/drawing/2014/main" id="{F1263AEA-D8BE-4BDA-A6ED-7571D2DC41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024F39" w14:textId="77777777" w:rsidR="00F32899" w:rsidRDefault="00F32899" w:rsidP="00F32899">
      <w:pPr>
        <w:jc w:val="both"/>
        <w:rPr>
          <w:rFonts w:cstheme="minorHAnsi"/>
        </w:rPr>
      </w:pPr>
      <w:r w:rsidRPr="00F32899">
        <w:rPr>
          <w:rFonts w:cstheme="minorHAnsi"/>
          <w:b/>
          <w:bCs/>
        </w:rPr>
        <w:t>Figure 2.</w:t>
      </w:r>
      <w:r>
        <w:rPr>
          <w:rFonts w:cstheme="minorHAnsi"/>
        </w:rPr>
        <w:t xml:space="preserve"> Number of R/PBS subsidised smoking cessation prescript</w:t>
      </w:r>
      <w:r w:rsidR="0081783D">
        <w:rPr>
          <w:rFonts w:cstheme="minorHAnsi"/>
        </w:rPr>
        <w:t>ion</w:t>
      </w:r>
      <w:r>
        <w:rPr>
          <w:rFonts w:cstheme="minorHAnsi"/>
        </w:rPr>
        <w:t>s supplied by financial year and type of medicine.</w:t>
      </w:r>
    </w:p>
    <w:p w14:paraId="59A5FF45" w14:textId="77777777" w:rsidR="002D1B0C" w:rsidRDefault="002D1B0C" w:rsidP="00F32899">
      <w:pPr>
        <w:jc w:val="both"/>
        <w:rPr>
          <w:rFonts w:cstheme="minorHAnsi"/>
        </w:rPr>
      </w:pPr>
      <w:r>
        <w:rPr>
          <w:noProof/>
        </w:rPr>
        <w:drawing>
          <wp:inline distT="0" distB="0" distL="0" distR="0" wp14:anchorId="56603FF2" wp14:editId="4581F7C3">
            <wp:extent cx="5218430" cy="3276600"/>
            <wp:effectExtent l="0" t="0" r="1270" b="0"/>
            <wp:docPr id="39" name="Chart 39">
              <a:extLst xmlns:a="http://schemas.openxmlformats.org/drawingml/2006/main">
                <a:ext uri="{FF2B5EF4-FFF2-40B4-BE49-F238E27FC236}">
                  <a16:creationId xmlns:a16="http://schemas.microsoft.com/office/drawing/2014/main" id="{F1263AEA-D8BE-4BDA-A6ED-7571D2DC41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3ED16F" w14:textId="1178B216" w:rsidR="002D1B0C" w:rsidRDefault="002D1B0C" w:rsidP="002D1B0C">
      <w:pPr>
        <w:jc w:val="both"/>
        <w:rPr>
          <w:rFonts w:cstheme="minorHAnsi"/>
        </w:rPr>
      </w:pPr>
      <w:r w:rsidRPr="00F32899">
        <w:rPr>
          <w:rFonts w:cstheme="minorHAnsi"/>
          <w:b/>
          <w:bCs/>
        </w:rPr>
        <w:t>Figure 2</w:t>
      </w:r>
      <w:r w:rsidR="00721E95">
        <w:rPr>
          <w:rFonts w:cstheme="minorHAnsi"/>
          <w:b/>
          <w:bCs/>
        </w:rPr>
        <w:t>a</w:t>
      </w:r>
      <w:r w:rsidRPr="00F32899">
        <w:rPr>
          <w:rFonts w:cstheme="minorHAnsi"/>
          <w:b/>
          <w:bCs/>
        </w:rPr>
        <w:t>.</w:t>
      </w:r>
      <w:r>
        <w:rPr>
          <w:rFonts w:cstheme="minorHAnsi"/>
        </w:rPr>
        <w:t xml:space="preserve"> Percent of R/PBS subsidised smoking cessation prescriptions supplied by financial year and type of medicine.</w:t>
      </w:r>
    </w:p>
    <w:p w14:paraId="14F56139" w14:textId="77777777" w:rsidR="002D1B0C" w:rsidRDefault="002D1B0C" w:rsidP="00F32899">
      <w:pPr>
        <w:jc w:val="both"/>
        <w:rPr>
          <w:rFonts w:cstheme="minorHAnsi"/>
        </w:rPr>
      </w:pPr>
    </w:p>
    <w:p w14:paraId="249F8FA4" w14:textId="77777777" w:rsidR="00D57BB3" w:rsidRDefault="00D57BB3" w:rsidP="00F32899">
      <w:pPr>
        <w:jc w:val="both"/>
        <w:rPr>
          <w:rFonts w:cstheme="minorHAnsi"/>
        </w:rPr>
      </w:pPr>
    </w:p>
    <w:p w14:paraId="18564871" w14:textId="77777777" w:rsidR="00D57BB3" w:rsidRDefault="00D57BB3" w:rsidP="00F32899">
      <w:pPr>
        <w:jc w:val="both"/>
        <w:rPr>
          <w:rFonts w:cstheme="minorHAnsi"/>
        </w:rPr>
      </w:pPr>
    </w:p>
    <w:p w14:paraId="4125E3ED" w14:textId="77777777" w:rsidR="0081783D" w:rsidRDefault="0081783D" w:rsidP="0081783D">
      <w:pPr>
        <w:rPr>
          <w:lang w:eastAsia="en-US"/>
        </w:rPr>
      </w:pPr>
      <w:r>
        <w:rPr>
          <w:lang w:eastAsia="en-US"/>
        </w:rPr>
        <w:t xml:space="preserve">Figure 3 shows </w:t>
      </w:r>
      <w:r w:rsidR="00BA488F">
        <w:rPr>
          <w:lang w:eastAsia="en-US"/>
        </w:rPr>
        <w:t xml:space="preserve">what </w:t>
      </w:r>
      <w:r>
        <w:rPr>
          <w:lang w:eastAsia="en-US"/>
        </w:rPr>
        <w:t xml:space="preserve">the government paid under the PBS for smoking cessation products.  In 2019/2020, the cost was AUD 35.6 million, down from 37.8 million in 2018/2019. </w:t>
      </w:r>
    </w:p>
    <w:p w14:paraId="65A5E2DF" w14:textId="77777777" w:rsidR="006C5382" w:rsidRDefault="005C05C2" w:rsidP="00A4095B">
      <w:pPr>
        <w:jc w:val="both"/>
        <w:rPr>
          <w:rFonts w:cstheme="minorHAnsi"/>
        </w:rPr>
      </w:pPr>
      <w:r>
        <w:rPr>
          <w:noProof/>
        </w:rPr>
        <w:drawing>
          <wp:inline distT="0" distB="0" distL="0" distR="0" wp14:anchorId="260ACD4E" wp14:editId="0772FE88">
            <wp:extent cx="5274310" cy="2857500"/>
            <wp:effectExtent l="0" t="0" r="2540" b="0"/>
            <wp:docPr id="21" name="Chart 21">
              <a:extLst xmlns:a="http://schemas.openxmlformats.org/drawingml/2006/main">
                <a:ext uri="{FF2B5EF4-FFF2-40B4-BE49-F238E27FC236}">
                  <a16:creationId xmlns:a16="http://schemas.microsoft.com/office/drawing/2014/main" id="{A0E6F9D0-D246-4D97-A104-E07D851097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FD74CE" w14:textId="77777777" w:rsidR="00C95CA8" w:rsidRDefault="00C95CA8" w:rsidP="00C95CA8">
      <w:pPr>
        <w:jc w:val="both"/>
        <w:rPr>
          <w:rFonts w:cstheme="minorHAnsi"/>
        </w:rPr>
      </w:pPr>
      <w:r w:rsidRPr="006C5382">
        <w:rPr>
          <w:rFonts w:cstheme="minorHAnsi"/>
          <w:b/>
          <w:bCs/>
        </w:rPr>
        <w:t>Figure 3.</w:t>
      </w:r>
      <w:r>
        <w:rPr>
          <w:rFonts w:cstheme="minorHAnsi"/>
        </w:rPr>
        <w:t xml:space="preserve">  Government benefit paid (AUD millions) for smoking cessation therapies under the PBS by financial year and type of therapy</w:t>
      </w:r>
    </w:p>
    <w:p w14:paraId="4176DCFA" w14:textId="77777777" w:rsidR="0081783D" w:rsidRDefault="0081783D" w:rsidP="0081783D">
      <w:pPr>
        <w:rPr>
          <w:lang w:eastAsia="en-US"/>
        </w:rPr>
      </w:pPr>
      <w:r>
        <w:rPr>
          <w:lang w:eastAsia="en-US"/>
        </w:rPr>
        <w:t>Figure 4 presents the total PBS cost of smoking cessation products based on the benefit paid by the government and consumer co-payment. In 2019/2020, the total cost was AUD 46.4 million, down from 48.6 million in 2018/2019. In 2019/2020, varenicline accounted for 73.3% of the total PBS expenditure, while nicotine replacement therapies accounted for 25.2% and bupropion for 1.5% (Figure 4).</w:t>
      </w:r>
    </w:p>
    <w:p w14:paraId="08082A02" w14:textId="77777777" w:rsidR="006C5382" w:rsidRDefault="006C5382" w:rsidP="00A4095B">
      <w:pPr>
        <w:jc w:val="both"/>
        <w:rPr>
          <w:rFonts w:cstheme="minorHAnsi"/>
        </w:rPr>
      </w:pPr>
      <w:r>
        <w:rPr>
          <w:noProof/>
        </w:rPr>
        <w:drawing>
          <wp:inline distT="0" distB="0" distL="0" distR="0" wp14:anchorId="619B6F09" wp14:editId="22FF9EFD">
            <wp:extent cx="5274310" cy="3095625"/>
            <wp:effectExtent l="0" t="0" r="2540" b="9525"/>
            <wp:docPr id="20" name="Chart 20">
              <a:extLst xmlns:a="http://schemas.openxmlformats.org/drawingml/2006/main">
                <a:ext uri="{FF2B5EF4-FFF2-40B4-BE49-F238E27FC236}">
                  <a16:creationId xmlns:a16="http://schemas.microsoft.com/office/drawing/2014/main" id="{AFE71110-5287-4080-BB69-9A2162E797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403145" w14:textId="77777777" w:rsidR="00C95CA8" w:rsidRDefault="006C5382" w:rsidP="00A4095B">
      <w:pPr>
        <w:jc w:val="both"/>
        <w:rPr>
          <w:rFonts w:cstheme="minorHAnsi"/>
        </w:rPr>
      </w:pPr>
      <w:r w:rsidRPr="006C5382">
        <w:rPr>
          <w:rFonts w:cstheme="minorHAnsi"/>
          <w:b/>
          <w:bCs/>
        </w:rPr>
        <w:t xml:space="preserve">Figure </w:t>
      </w:r>
      <w:r w:rsidR="00C95CA8">
        <w:rPr>
          <w:rFonts w:cstheme="minorHAnsi"/>
          <w:b/>
          <w:bCs/>
        </w:rPr>
        <w:t>4</w:t>
      </w:r>
      <w:r w:rsidRPr="006C5382">
        <w:rPr>
          <w:rFonts w:cstheme="minorHAnsi"/>
          <w:b/>
          <w:bCs/>
        </w:rPr>
        <w:t>.</w:t>
      </w:r>
      <w:r>
        <w:rPr>
          <w:rFonts w:cstheme="minorHAnsi"/>
        </w:rPr>
        <w:t xml:space="preserve">  </w:t>
      </w:r>
      <w:r w:rsidR="00C95CA8">
        <w:rPr>
          <w:rFonts w:cstheme="minorHAnsi"/>
        </w:rPr>
        <w:t>Total c</w:t>
      </w:r>
      <w:r w:rsidR="006A638F">
        <w:rPr>
          <w:rFonts w:cstheme="minorHAnsi"/>
        </w:rPr>
        <w:t>ost</w:t>
      </w:r>
      <w:r w:rsidR="006C280B">
        <w:rPr>
          <w:rFonts w:cstheme="minorHAnsi"/>
        </w:rPr>
        <w:t xml:space="preserve"> (AUD millions)</w:t>
      </w:r>
      <w:r w:rsidR="00DF17BE">
        <w:rPr>
          <w:rFonts w:cstheme="minorHAnsi"/>
        </w:rPr>
        <w:t xml:space="preserve"> </w:t>
      </w:r>
      <w:r w:rsidR="00190AD6">
        <w:rPr>
          <w:rFonts w:cstheme="minorHAnsi"/>
        </w:rPr>
        <w:t>of</w:t>
      </w:r>
      <w:r>
        <w:rPr>
          <w:rFonts w:cstheme="minorHAnsi"/>
        </w:rPr>
        <w:t xml:space="preserve"> smoking cessation </w:t>
      </w:r>
      <w:r w:rsidR="00190AD6">
        <w:rPr>
          <w:rFonts w:cstheme="minorHAnsi"/>
        </w:rPr>
        <w:t xml:space="preserve">therapies under </w:t>
      </w:r>
      <w:r w:rsidR="006A638F">
        <w:rPr>
          <w:rFonts w:cstheme="minorHAnsi"/>
        </w:rPr>
        <w:t xml:space="preserve">the </w:t>
      </w:r>
      <w:r w:rsidR="00190AD6">
        <w:rPr>
          <w:rFonts w:cstheme="minorHAnsi"/>
        </w:rPr>
        <w:t>PBS</w:t>
      </w:r>
      <w:r>
        <w:rPr>
          <w:rFonts w:cstheme="minorHAnsi"/>
        </w:rPr>
        <w:t xml:space="preserve"> by financial year</w:t>
      </w:r>
      <w:r w:rsidR="006A638F">
        <w:rPr>
          <w:rFonts w:cstheme="minorHAnsi"/>
        </w:rPr>
        <w:t xml:space="preserve"> and type of therapy</w:t>
      </w:r>
    </w:p>
    <w:p w14:paraId="05AEF3CB" w14:textId="2873061F" w:rsidR="00B948E3" w:rsidRDefault="00B948E3" w:rsidP="00CE0D60">
      <w:pPr>
        <w:spacing w:after="0"/>
        <w:rPr>
          <w:rFonts w:cstheme="minorHAnsi"/>
          <w:b/>
          <w:bCs/>
        </w:rPr>
      </w:pPr>
      <w:r w:rsidRPr="00B948E3">
        <w:rPr>
          <w:rFonts w:cstheme="minorHAnsi"/>
          <w:b/>
          <w:bCs/>
        </w:rPr>
        <w:t xml:space="preserve">NRT </w:t>
      </w:r>
      <w:r w:rsidR="006C280B">
        <w:rPr>
          <w:rFonts w:cstheme="minorHAnsi"/>
          <w:b/>
          <w:bCs/>
        </w:rPr>
        <w:t xml:space="preserve">under the PBS </w:t>
      </w:r>
      <w:r w:rsidR="006A638F">
        <w:rPr>
          <w:rFonts w:cstheme="minorHAnsi"/>
          <w:b/>
          <w:bCs/>
        </w:rPr>
        <w:t xml:space="preserve">scheme </w:t>
      </w:r>
      <w:r w:rsidR="0043625B">
        <w:rPr>
          <w:rFonts w:cstheme="minorHAnsi"/>
          <w:b/>
          <w:bCs/>
        </w:rPr>
        <w:t>and over-the-</w:t>
      </w:r>
      <w:r w:rsidR="006C280B">
        <w:rPr>
          <w:rFonts w:cstheme="minorHAnsi"/>
          <w:b/>
          <w:bCs/>
        </w:rPr>
        <w:t xml:space="preserve">counter </w:t>
      </w:r>
    </w:p>
    <w:p w14:paraId="5FBE8D41" w14:textId="77777777" w:rsidR="000A3424" w:rsidRPr="00B948E3" w:rsidRDefault="000A3424" w:rsidP="00CE0D60">
      <w:pPr>
        <w:spacing w:after="0"/>
        <w:rPr>
          <w:rFonts w:cstheme="minorHAnsi"/>
          <w:b/>
          <w:bCs/>
        </w:rPr>
      </w:pPr>
    </w:p>
    <w:p w14:paraId="23CB706A" w14:textId="77777777" w:rsidR="00DB169F" w:rsidRDefault="00DB169F" w:rsidP="00A4095B">
      <w:pPr>
        <w:jc w:val="both"/>
        <w:rPr>
          <w:rFonts w:ascii="Calibri" w:eastAsia="Times New Roman" w:hAnsi="Calibri" w:cs="Times New Roman"/>
          <w:color w:val="000000"/>
        </w:rPr>
      </w:pPr>
      <w:r>
        <w:rPr>
          <w:rFonts w:ascii="Calibri" w:eastAsia="Times New Roman" w:hAnsi="Calibri" w:cs="Times New Roman"/>
          <w:color w:val="000000"/>
        </w:rPr>
        <w:t xml:space="preserve">Before 1 February 2019, only NRT patches were subsidised under the PBS. NRT gums and lozenges were included </w:t>
      </w:r>
      <w:r w:rsidR="0081783D">
        <w:rPr>
          <w:rFonts w:ascii="Calibri" w:eastAsia="Times New Roman" w:hAnsi="Calibri" w:cs="Times New Roman"/>
          <w:color w:val="000000"/>
        </w:rPr>
        <w:t>on</w:t>
      </w:r>
      <w:r>
        <w:rPr>
          <w:rFonts w:ascii="Calibri" w:eastAsia="Times New Roman" w:hAnsi="Calibri" w:cs="Times New Roman"/>
          <w:color w:val="000000"/>
        </w:rPr>
        <w:t xml:space="preserve"> the PBS </w:t>
      </w:r>
      <w:r w:rsidR="0081783D">
        <w:rPr>
          <w:rFonts w:ascii="Calibri" w:eastAsia="Times New Roman" w:hAnsi="Calibri" w:cs="Times New Roman"/>
          <w:color w:val="000000"/>
        </w:rPr>
        <w:t>from</w:t>
      </w:r>
      <w:r>
        <w:rPr>
          <w:rFonts w:ascii="Calibri" w:eastAsia="Times New Roman" w:hAnsi="Calibri" w:cs="Times New Roman"/>
          <w:color w:val="000000"/>
        </w:rPr>
        <w:t xml:space="preserve"> 1 February 2019. </w:t>
      </w:r>
      <w:r w:rsidR="00FC30CE">
        <w:rPr>
          <w:rFonts w:ascii="Calibri" w:eastAsia="Times New Roman" w:hAnsi="Calibri" w:cs="Times New Roman"/>
          <w:color w:val="000000"/>
        </w:rPr>
        <w:t xml:space="preserve">In 2019/2020, NRT patches accounted for 94% of all NRT products </w:t>
      </w:r>
      <w:r w:rsidR="00171165">
        <w:rPr>
          <w:rFonts w:ascii="Calibri" w:eastAsia="Times New Roman" w:hAnsi="Calibri" w:cs="Times New Roman"/>
          <w:color w:val="000000"/>
        </w:rPr>
        <w:t>subsidised</w:t>
      </w:r>
      <w:r w:rsidR="00446CC4">
        <w:rPr>
          <w:rFonts w:ascii="Calibri" w:eastAsia="Times New Roman" w:hAnsi="Calibri" w:cs="Times New Roman"/>
          <w:color w:val="000000"/>
        </w:rPr>
        <w:t xml:space="preserve"> </w:t>
      </w:r>
      <w:r w:rsidR="00FC30CE">
        <w:rPr>
          <w:rFonts w:ascii="Calibri" w:eastAsia="Times New Roman" w:hAnsi="Calibri" w:cs="Times New Roman"/>
          <w:color w:val="000000"/>
        </w:rPr>
        <w:t>under the PBS.</w:t>
      </w:r>
    </w:p>
    <w:p w14:paraId="4EA458CA" w14:textId="7FFEF04F" w:rsidR="00A4095B" w:rsidRDefault="00A4095B" w:rsidP="00A4095B">
      <w:pPr>
        <w:jc w:val="both"/>
        <w:rPr>
          <w:rFonts w:ascii="Calibri" w:eastAsia="Times New Roman" w:hAnsi="Calibri" w:cs="Times New Roman"/>
          <w:color w:val="000000"/>
        </w:rPr>
      </w:pPr>
      <w:r>
        <w:rPr>
          <w:rFonts w:cstheme="minorHAnsi"/>
        </w:rPr>
        <w:t xml:space="preserve">The </w:t>
      </w:r>
      <w:r w:rsidR="00E67902">
        <w:rPr>
          <w:rFonts w:cstheme="minorHAnsi"/>
        </w:rPr>
        <w:t xml:space="preserve">volume and </w:t>
      </w:r>
      <w:r>
        <w:rPr>
          <w:rFonts w:cstheme="minorHAnsi"/>
        </w:rPr>
        <w:t>cost of all NRT products sold OTC from 20</w:t>
      </w:r>
      <w:r w:rsidR="00B948E3">
        <w:rPr>
          <w:rFonts w:cstheme="minorHAnsi"/>
        </w:rPr>
        <w:t>05</w:t>
      </w:r>
      <w:r>
        <w:rPr>
          <w:rFonts w:cstheme="minorHAnsi"/>
        </w:rPr>
        <w:t xml:space="preserve"> to 2019 w</w:t>
      </w:r>
      <w:r w:rsidR="00953385">
        <w:rPr>
          <w:rFonts w:cstheme="minorHAnsi"/>
        </w:rPr>
        <w:t>as</w:t>
      </w:r>
      <w:r>
        <w:rPr>
          <w:rFonts w:cstheme="minorHAnsi"/>
        </w:rPr>
        <w:t xml:space="preserve"> extracted from Euromonitor </w:t>
      </w:r>
      <w:r w:rsidRPr="00943FD7">
        <w:rPr>
          <w:rFonts w:ascii="Calibri" w:eastAsia="Times New Roman" w:hAnsi="Calibri" w:cs="Times New Roman"/>
          <w:color w:val="000000"/>
        </w:rPr>
        <w:t xml:space="preserve">International </w:t>
      </w:r>
      <w:r>
        <w:rPr>
          <w:rFonts w:ascii="Calibri" w:eastAsia="Times New Roman" w:hAnsi="Calibri" w:cs="Times New Roman"/>
          <w:color w:val="000000"/>
        </w:rPr>
        <w:t xml:space="preserve">report </w:t>
      </w:r>
      <w:r w:rsidRPr="00943FD7">
        <w:rPr>
          <w:rFonts w:ascii="Calibri" w:eastAsia="Times New Roman" w:hAnsi="Calibri" w:cs="Times New Roman"/>
          <w:color w:val="000000"/>
        </w:rPr>
        <w:t>2019</w:t>
      </w:r>
      <w:r>
        <w:rPr>
          <w:rFonts w:ascii="Calibri" w:eastAsia="Times New Roman" w:hAnsi="Calibri" w:cs="Times New Roman"/>
          <w:color w:val="000000"/>
        </w:rPr>
        <w:t xml:space="preserve"> on</w:t>
      </w:r>
      <w:r w:rsidRPr="00943FD7">
        <w:rPr>
          <w:rFonts w:ascii="Calibri" w:eastAsia="Times New Roman" w:hAnsi="Calibri" w:cs="Times New Roman"/>
          <w:color w:val="000000"/>
        </w:rPr>
        <w:t xml:space="preserve"> NRT Smoking cessation aids in Australia</w:t>
      </w:r>
      <w:r>
        <w:rPr>
          <w:rFonts w:ascii="Calibri" w:eastAsia="Times New Roman" w:hAnsi="Calibri" w:cs="Times New Roman"/>
          <w:color w:val="000000"/>
        </w:rPr>
        <w:t xml:space="preserve"> [</w:t>
      </w:r>
      <w:r w:rsidR="00B578BD">
        <w:rPr>
          <w:rFonts w:ascii="Calibri" w:eastAsia="Times New Roman" w:hAnsi="Calibri" w:cs="Times New Roman"/>
          <w:color w:val="000000"/>
        </w:rPr>
        <w:t>4</w:t>
      </w:r>
      <w:r>
        <w:rPr>
          <w:rFonts w:ascii="Calibri" w:eastAsia="Times New Roman" w:hAnsi="Calibri" w:cs="Times New Roman"/>
          <w:color w:val="000000"/>
        </w:rPr>
        <w:t>].</w:t>
      </w:r>
    </w:p>
    <w:p w14:paraId="11EF25C3" w14:textId="0105F8E3" w:rsidR="00E966D1" w:rsidRDefault="004F6FBB" w:rsidP="00A4095B">
      <w:pPr>
        <w:jc w:val="both"/>
        <w:rPr>
          <w:rFonts w:ascii="Calibri" w:eastAsia="Times New Roman" w:hAnsi="Calibri" w:cs="Times New Roman"/>
          <w:color w:val="000000"/>
        </w:rPr>
      </w:pPr>
      <w:r>
        <w:rPr>
          <w:rFonts w:ascii="Calibri" w:eastAsia="Times New Roman" w:hAnsi="Calibri" w:cs="Times New Roman"/>
          <w:color w:val="000000"/>
        </w:rPr>
        <w:t>There were 257.4 million NRT smoking cess</w:t>
      </w:r>
      <w:r w:rsidR="0043625B">
        <w:rPr>
          <w:rFonts w:ascii="Calibri" w:eastAsia="Times New Roman" w:hAnsi="Calibri" w:cs="Times New Roman"/>
          <w:color w:val="000000"/>
        </w:rPr>
        <w:t>ation aids sold OTC</w:t>
      </w:r>
      <w:r>
        <w:rPr>
          <w:rFonts w:ascii="Calibri" w:eastAsia="Times New Roman" w:hAnsi="Calibri" w:cs="Times New Roman"/>
          <w:color w:val="000000"/>
        </w:rPr>
        <w:t xml:space="preserve"> in 2019 (Figure </w:t>
      </w:r>
      <w:r w:rsidR="000933EE">
        <w:rPr>
          <w:rFonts w:ascii="Calibri" w:eastAsia="Times New Roman" w:hAnsi="Calibri" w:cs="Times New Roman"/>
          <w:color w:val="000000"/>
        </w:rPr>
        <w:t>5</w:t>
      </w:r>
      <w:r>
        <w:rPr>
          <w:rFonts w:ascii="Calibri" w:eastAsia="Times New Roman" w:hAnsi="Calibri" w:cs="Times New Roman"/>
          <w:color w:val="000000"/>
        </w:rPr>
        <w:t xml:space="preserve">). </w:t>
      </w:r>
      <w:r w:rsidR="00E966D1">
        <w:rPr>
          <w:rFonts w:ascii="Calibri" w:eastAsia="Times New Roman" w:hAnsi="Calibri" w:cs="Times New Roman"/>
          <w:color w:val="000000"/>
        </w:rPr>
        <w:t xml:space="preserve">The most commonly sold </w:t>
      </w:r>
      <w:r w:rsidR="006A6579">
        <w:rPr>
          <w:rFonts w:ascii="Calibri" w:eastAsia="Times New Roman" w:hAnsi="Calibri" w:cs="Times New Roman"/>
          <w:color w:val="000000"/>
        </w:rPr>
        <w:t>a</w:t>
      </w:r>
      <w:r w:rsidR="00E966D1">
        <w:rPr>
          <w:rFonts w:ascii="Calibri" w:eastAsia="Times New Roman" w:hAnsi="Calibri" w:cs="Times New Roman"/>
          <w:color w:val="000000"/>
        </w:rPr>
        <w:t>id was NRT gum (194 million units in 2019), followed by NRT Lozenges (43.2 million units in 2019) and NRT patches (17.4 million units in 2019</w:t>
      </w:r>
      <w:r w:rsidR="00BA488F">
        <w:rPr>
          <w:rFonts w:ascii="Calibri" w:eastAsia="Times New Roman" w:hAnsi="Calibri" w:cs="Times New Roman"/>
          <w:color w:val="000000"/>
        </w:rPr>
        <w:t>) –</w:t>
      </w:r>
      <w:r w:rsidR="00E966D1">
        <w:rPr>
          <w:rFonts w:ascii="Calibri" w:eastAsia="Times New Roman" w:hAnsi="Calibri" w:cs="Times New Roman"/>
          <w:color w:val="000000"/>
        </w:rPr>
        <w:t xml:space="preserve"> Figure </w:t>
      </w:r>
      <w:r w:rsidR="000933EE">
        <w:rPr>
          <w:rFonts w:ascii="Calibri" w:eastAsia="Times New Roman" w:hAnsi="Calibri" w:cs="Times New Roman"/>
          <w:color w:val="000000"/>
        </w:rPr>
        <w:t>6</w:t>
      </w:r>
      <w:r w:rsidR="00E966D1">
        <w:rPr>
          <w:rFonts w:ascii="Calibri" w:eastAsia="Times New Roman" w:hAnsi="Calibri" w:cs="Times New Roman"/>
          <w:color w:val="000000"/>
        </w:rPr>
        <w:t>.</w:t>
      </w:r>
      <w:r w:rsidR="006C280B">
        <w:rPr>
          <w:rFonts w:ascii="Calibri" w:eastAsia="Times New Roman" w:hAnsi="Calibri" w:cs="Times New Roman"/>
          <w:color w:val="000000"/>
        </w:rPr>
        <w:t xml:space="preserve"> </w:t>
      </w:r>
    </w:p>
    <w:p w14:paraId="1E885E4B" w14:textId="77777777" w:rsidR="00B0096F" w:rsidRDefault="00B0096F" w:rsidP="00A4095B">
      <w:pPr>
        <w:jc w:val="both"/>
        <w:rPr>
          <w:rFonts w:ascii="Calibri" w:eastAsia="Times New Roman" w:hAnsi="Calibri" w:cs="Times New Roman"/>
          <w:color w:val="000000"/>
        </w:rPr>
      </w:pPr>
      <w:r>
        <w:rPr>
          <w:noProof/>
        </w:rPr>
        <w:drawing>
          <wp:inline distT="0" distB="0" distL="0" distR="0" wp14:anchorId="438306E8" wp14:editId="14ACD890">
            <wp:extent cx="5676181" cy="2743200"/>
            <wp:effectExtent l="0" t="0" r="1270" b="0"/>
            <wp:docPr id="17" name="Chart 17">
              <a:extLst xmlns:a="http://schemas.openxmlformats.org/drawingml/2006/main">
                <a:ext uri="{FF2B5EF4-FFF2-40B4-BE49-F238E27FC236}">
                  <a16:creationId xmlns:a16="http://schemas.microsoft.com/office/drawing/2014/main" id="{4B739B61-3ED5-40E3-B4B0-C9FEE494F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961C6A" w14:textId="77777777" w:rsidR="00B0096F" w:rsidRDefault="00B0096F" w:rsidP="00A4095B">
      <w:pPr>
        <w:jc w:val="both"/>
        <w:rPr>
          <w:rFonts w:ascii="Calibri" w:eastAsia="Times New Roman" w:hAnsi="Calibri" w:cs="Times New Roman"/>
          <w:color w:val="000000"/>
        </w:rPr>
      </w:pPr>
      <w:r w:rsidRPr="00F35701">
        <w:rPr>
          <w:rFonts w:ascii="Calibri" w:eastAsia="Times New Roman" w:hAnsi="Calibri" w:cs="Times New Roman"/>
          <w:b/>
          <w:bCs/>
          <w:color w:val="000000"/>
        </w:rPr>
        <w:t xml:space="preserve">Figure </w:t>
      </w:r>
      <w:r w:rsidR="000933EE">
        <w:rPr>
          <w:rFonts w:ascii="Calibri" w:eastAsia="Times New Roman" w:hAnsi="Calibri" w:cs="Times New Roman"/>
          <w:b/>
          <w:bCs/>
          <w:color w:val="000000"/>
        </w:rPr>
        <w:t>5</w:t>
      </w:r>
      <w:r>
        <w:rPr>
          <w:rFonts w:ascii="Calibri" w:eastAsia="Times New Roman" w:hAnsi="Calibri" w:cs="Times New Roman"/>
          <w:color w:val="000000"/>
        </w:rPr>
        <w:t xml:space="preserve">. </w:t>
      </w:r>
      <w:r w:rsidR="00397485">
        <w:rPr>
          <w:rFonts w:ascii="Calibri" w:eastAsia="Times New Roman" w:hAnsi="Calibri" w:cs="Times New Roman"/>
          <w:color w:val="000000"/>
        </w:rPr>
        <w:t xml:space="preserve">Total volume of all NRT smoking cessation aids sold over-the-counter </w:t>
      </w:r>
    </w:p>
    <w:p w14:paraId="49CCFF0D" w14:textId="77777777" w:rsidR="00A4095B" w:rsidRDefault="00E67902" w:rsidP="00A4095B">
      <w:pPr>
        <w:rPr>
          <w:lang w:eastAsia="en-US"/>
        </w:rPr>
      </w:pPr>
      <w:r>
        <w:rPr>
          <w:noProof/>
        </w:rPr>
        <w:drawing>
          <wp:inline distT="0" distB="0" distL="0" distR="0" wp14:anchorId="45FCBD77" wp14:editId="0BFD5E11">
            <wp:extent cx="5274310" cy="2933700"/>
            <wp:effectExtent l="0" t="0" r="2540" b="0"/>
            <wp:docPr id="11" name="Chart 11">
              <a:extLst xmlns:a="http://schemas.openxmlformats.org/drawingml/2006/main">
                <a:ext uri="{FF2B5EF4-FFF2-40B4-BE49-F238E27FC236}">
                  <a16:creationId xmlns:a16="http://schemas.microsoft.com/office/drawing/2014/main" id="{207FC733-CD5F-4B51-9B05-B965FF5AC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6168F8" w14:textId="77777777" w:rsidR="00E67902" w:rsidRDefault="00E67902" w:rsidP="00A4095B">
      <w:pPr>
        <w:rPr>
          <w:lang w:eastAsia="en-US"/>
        </w:rPr>
      </w:pPr>
      <w:r w:rsidRPr="00E67902">
        <w:rPr>
          <w:b/>
          <w:bCs/>
          <w:lang w:eastAsia="en-US"/>
        </w:rPr>
        <w:t xml:space="preserve">Figure </w:t>
      </w:r>
      <w:r w:rsidR="000933EE">
        <w:rPr>
          <w:b/>
          <w:bCs/>
          <w:lang w:eastAsia="en-US"/>
        </w:rPr>
        <w:t>6</w:t>
      </w:r>
      <w:r>
        <w:rPr>
          <w:lang w:eastAsia="en-US"/>
        </w:rPr>
        <w:t>. Volume of over-the-counter sales of NRT smoking cessation aids</w:t>
      </w:r>
      <w:r w:rsidR="00F35701">
        <w:rPr>
          <w:lang w:eastAsia="en-US"/>
        </w:rPr>
        <w:t>, by type of aid</w:t>
      </w:r>
      <w:r>
        <w:rPr>
          <w:lang w:eastAsia="en-US"/>
        </w:rPr>
        <w:t>.</w:t>
      </w:r>
    </w:p>
    <w:p w14:paraId="2C04C45E" w14:textId="08FE317D" w:rsidR="0081783D" w:rsidRDefault="0081783D" w:rsidP="0081783D">
      <w:pPr>
        <w:jc w:val="both"/>
        <w:rPr>
          <w:rFonts w:ascii="Calibri" w:eastAsia="Times New Roman" w:hAnsi="Calibri" w:cs="Times New Roman"/>
          <w:color w:val="000000"/>
        </w:rPr>
      </w:pPr>
      <w:r>
        <w:rPr>
          <w:rFonts w:ascii="Calibri" w:eastAsia="Times New Roman" w:hAnsi="Calibri" w:cs="Times New Roman"/>
          <w:color w:val="000000"/>
        </w:rPr>
        <w:t>The total retail cost of NRT s</w:t>
      </w:r>
      <w:r w:rsidR="0043625B">
        <w:rPr>
          <w:rFonts w:ascii="Calibri" w:eastAsia="Times New Roman" w:hAnsi="Calibri" w:cs="Times New Roman"/>
          <w:color w:val="000000"/>
        </w:rPr>
        <w:t>moking cessation aids sold over-the-</w:t>
      </w:r>
      <w:r>
        <w:rPr>
          <w:rFonts w:ascii="Calibri" w:eastAsia="Times New Roman" w:hAnsi="Calibri" w:cs="Times New Roman"/>
          <w:color w:val="000000"/>
        </w:rPr>
        <w:t xml:space="preserve">counter in 2019 was </w:t>
      </w:r>
      <w:r w:rsidR="00954CD2">
        <w:rPr>
          <w:rFonts w:ascii="Calibri" w:eastAsia="Times New Roman" w:hAnsi="Calibri" w:cs="Times New Roman"/>
          <w:color w:val="000000"/>
        </w:rPr>
        <w:t>$</w:t>
      </w:r>
      <w:r>
        <w:rPr>
          <w:rFonts w:ascii="Calibri" w:eastAsia="Times New Roman" w:hAnsi="Calibri" w:cs="Times New Roman"/>
          <w:color w:val="000000"/>
        </w:rPr>
        <w:t xml:space="preserve">152 million AUD (Figure 7). The cost of NRT gum and NRT patches accounted for </w:t>
      </w:r>
      <w:r w:rsidR="00954CD2">
        <w:rPr>
          <w:rFonts w:ascii="Calibri" w:eastAsia="Times New Roman" w:hAnsi="Calibri" w:cs="Times New Roman"/>
          <w:color w:val="000000"/>
        </w:rPr>
        <w:t>$</w:t>
      </w:r>
      <w:r>
        <w:rPr>
          <w:rFonts w:ascii="Calibri" w:eastAsia="Times New Roman" w:hAnsi="Calibri" w:cs="Times New Roman"/>
          <w:color w:val="000000"/>
        </w:rPr>
        <w:t xml:space="preserve">56 million each in 2019 (Figure 8). </w:t>
      </w:r>
    </w:p>
    <w:p w14:paraId="4DEE0E8F" w14:textId="77777777" w:rsidR="00E67902" w:rsidRDefault="00E67902" w:rsidP="00A4095B">
      <w:pPr>
        <w:rPr>
          <w:lang w:eastAsia="en-US"/>
        </w:rPr>
      </w:pPr>
      <w:r>
        <w:rPr>
          <w:noProof/>
        </w:rPr>
        <w:drawing>
          <wp:inline distT="0" distB="0" distL="0" distR="0" wp14:anchorId="120E71DE" wp14:editId="4F331442">
            <wp:extent cx="5175885" cy="3519577"/>
            <wp:effectExtent l="0" t="0" r="5715" b="5080"/>
            <wp:docPr id="13" name="Chart 13">
              <a:extLst xmlns:a="http://schemas.openxmlformats.org/drawingml/2006/main">
                <a:ext uri="{FF2B5EF4-FFF2-40B4-BE49-F238E27FC236}">
                  <a16:creationId xmlns:a16="http://schemas.microsoft.com/office/drawing/2014/main" id="{9205EDAE-2CCF-4B2A-8351-93B91F2E38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B15792" w14:textId="77777777" w:rsidR="00E966D1" w:rsidRDefault="00E966D1" w:rsidP="00A4095B">
      <w:pPr>
        <w:rPr>
          <w:lang w:eastAsia="en-US"/>
        </w:rPr>
      </w:pPr>
      <w:r w:rsidRPr="00E966D1">
        <w:rPr>
          <w:b/>
          <w:bCs/>
          <w:lang w:eastAsia="en-US"/>
        </w:rPr>
        <w:t xml:space="preserve">Figure </w:t>
      </w:r>
      <w:r w:rsidR="000933EE">
        <w:rPr>
          <w:b/>
          <w:bCs/>
          <w:lang w:eastAsia="en-US"/>
        </w:rPr>
        <w:t>7</w:t>
      </w:r>
      <w:r>
        <w:rPr>
          <w:lang w:eastAsia="en-US"/>
        </w:rPr>
        <w:t xml:space="preserve">. </w:t>
      </w:r>
      <w:r w:rsidR="00F35701">
        <w:rPr>
          <w:lang w:eastAsia="en-US"/>
        </w:rPr>
        <w:t>Total r</w:t>
      </w:r>
      <w:r>
        <w:rPr>
          <w:lang w:eastAsia="en-US"/>
        </w:rPr>
        <w:t>etail cost (AUD millions) of over-the-counter sales of NRT smoking cessation aids</w:t>
      </w:r>
    </w:p>
    <w:p w14:paraId="6E794AC9" w14:textId="77777777" w:rsidR="00E966D1" w:rsidRDefault="00E966D1" w:rsidP="00A4095B">
      <w:pPr>
        <w:rPr>
          <w:lang w:eastAsia="en-US"/>
        </w:rPr>
      </w:pPr>
      <w:r>
        <w:rPr>
          <w:noProof/>
        </w:rPr>
        <w:drawing>
          <wp:inline distT="0" distB="0" distL="0" distR="0" wp14:anchorId="759D142C" wp14:editId="261BC0EA">
            <wp:extent cx="5153025" cy="3312160"/>
            <wp:effectExtent l="0" t="0" r="9525" b="2540"/>
            <wp:docPr id="16" name="Chart 16">
              <a:extLst xmlns:a="http://schemas.openxmlformats.org/drawingml/2006/main">
                <a:ext uri="{FF2B5EF4-FFF2-40B4-BE49-F238E27FC236}">
                  <a16:creationId xmlns:a16="http://schemas.microsoft.com/office/drawing/2014/main" id="{D8025D63-68D5-407F-885D-7DB89E07F9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36FD8D" w14:textId="77777777" w:rsidR="00E966D1" w:rsidRDefault="00E966D1" w:rsidP="00E966D1">
      <w:pPr>
        <w:rPr>
          <w:lang w:eastAsia="en-US"/>
        </w:rPr>
      </w:pPr>
      <w:r w:rsidRPr="00E966D1">
        <w:rPr>
          <w:b/>
          <w:bCs/>
          <w:lang w:eastAsia="en-US"/>
        </w:rPr>
        <w:t xml:space="preserve">Figure </w:t>
      </w:r>
      <w:r w:rsidR="000933EE">
        <w:rPr>
          <w:b/>
          <w:bCs/>
          <w:lang w:eastAsia="en-US"/>
        </w:rPr>
        <w:t>8</w:t>
      </w:r>
      <w:r>
        <w:rPr>
          <w:lang w:eastAsia="en-US"/>
        </w:rPr>
        <w:t>. Retail cost (AUD millions) of over-the-counter sales of NRT smoking cessation aids, by type of aid</w:t>
      </w:r>
    </w:p>
    <w:p w14:paraId="5EA9DFDD" w14:textId="065484CA" w:rsidR="00954CD2" w:rsidRPr="000933EE" w:rsidRDefault="00954CD2" w:rsidP="00954CD2">
      <w:pPr>
        <w:jc w:val="both"/>
        <w:rPr>
          <w:rFonts w:ascii="Calibri" w:eastAsia="Times New Roman" w:hAnsi="Calibri" w:cs="Times New Roman"/>
          <w:color w:val="000000"/>
        </w:rPr>
      </w:pPr>
      <w:r>
        <w:rPr>
          <w:rFonts w:ascii="Calibri" w:eastAsia="Times New Roman" w:hAnsi="Calibri" w:cs="Times New Roman"/>
          <w:color w:val="000000"/>
        </w:rPr>
        <w:t>Figure 9 shows the NRT expenditure under the PBS and over-the-counter sales, with $11.7 million spent under the PBS and $152 million for OTC NRT aids in 2019. The NRT cost market under the PBS was 7</w:t>
      </w:r>
      <w:r w:rsidR="00923099">
        <w:rPr>
          <w:rFonts w:ascii="Calibri" w:eastAsia="Times New Roman" w:hAnsi="Calibri" w:cs="Times New Roman"/>
          <w:color w:val="000000"/>
        </w:rPr>
        <w:t>.1</w:t>
      </w:r>
      <w:r>
        <w:rPr>
          <w:rFonts w:ascii="Calibri" w:eastAsia="Times New Roman" w:hAnsi="Calibri" w:cs="Times New Roman"/>
          <w:color w:val="000000"/>
        </w:rPr>
        <w:t>% from the overall NRT market in 2019 (Figure 10). The results in figure 9 and 10 are reported</w:t>
      </w:r>
      <w:r w:rsidRPr="000933EE">
        <w:rPr>
          <w:lang w:eastAsia="en-US"/>
        </w:rPr>
        <w:t xml:space="preserve"> for calendar years to allow comparison with </w:t>
      </w:r>
      <w:r w:rsidRPr="000933EE">
        <w:rPr>
          <w:rFonts w:cstheme="minorHAnsi"/>
        </w:rPr>
        <w:t xml:space="preserve">Euromonitor </w:t>
      </w:r>
      <w:r w:rsidRPr="000933EE">
        <w:rPr>
          <w:rFonts w:ascii="Calibri" w:eastAsia="Times New Roman" w:hAnsi="Calibri" w:cs="Times New Roman"/>
          <w:color w:val="000000"/>
        </w:rPr>
        <w:t>International report 2019 on NRT Smoking cessation aids in Australia.</w:t>
      </w:r>
    </w:p>
    <w:p w14:paraId="35FE12BA" w14:textId="77777777" w:rsidR="00F7464B" w:rsidRDefault="00F7464B" w:rsidP="00A4095B">
      <w:pPr>
        <w:rPr>
          <w:lang w:eastAsia="en-US"/>
        </w:rPr>
      </w:pPr>
      <w:r>
        <w:rPr>
          <w:noProof/>
        </w:rPr>
        <w:drawing>
          <wp:inline distT="0" distB="0" distL="0" distR="0" wp14:anchorId="11C49E43" wp14:editId="3EF82E3B">
            <wp:extent cx="5274310" cy="3010619"/>
            <wp:effectExtent l="0" t="0" r="2540" b="18415"/>
            <wp:docPr id="23" name="Chart 23">
              <a:extLst xmlns:a="http://schemas.openxmlformats.org/drawingml/2006/main">
                <a:ext uri="{FF2B5EF4-FFF2-40B4-BE49-F238E27FC236}">
                  <a16:creationId xmlns:a16="http://schemas.microsoft.com/office/drawing/2014/main" id="{B727EF63-F269-4184-BDAA-20B314123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21438E" w14:textId="77777777" w:rsidR="00F7464B" w:rsidRDefault="00F7464B" w:rsidP="00A4095B">
      <w:pPr>
        <w:rPr>
          <w:lang w:eastAsia="en-US"/>
        </w:rPr>
      </w:pPr>
      <w:r w:rsidRPr="00C61211">
        <w:rPr>
          <w:b/>
          <w:bCs/>
          <w:lang w:eastAsia="en-US"/>
        </w:rPr>
        <w:t xml:space="preserve">Figure </w:t>
      </w:r>
      <w:r w:rsidR="000933EE">
        <w:rPr>
          <w:b/>
          <w:bCs/>
          <w:lang w:eastAsia="en-US"/>
        </w:rPr>
        <w:t>9</w:t>
      </w:r>
      <w:r>
        <w:rPr>
          <w:lang w:eastAsia="en-US"/>
        </w:rPr>
        <w:t xml:space="preserve">. </w:t>
      </w:r>
      <w:r w:rsidR="006C280B">
        <w:rPr>
          <w:lang w:eastAsia="en-US"/>
        </w:rPr>
        <w:t xml:space="preserve">NRT </w:t>
      </w:r>
      <w:r w:rsidR="003221FD">
        <w:rPr>
          <w:lang w:eastAsia="en-US"/>
        </w:rPr>
        <w:t>cost</w:t>
      </w:r>
      <w:r w:rsidR="006C280B">
        <w:rPr>
          <w:lang w:eastAsia="en-US"/>
        </w:rPr>
        <w:t xml:space="preserve"> under the PBS </w:t>
      </w:r>
      <w:r w:rsidR="003221FD">
        <w:rPr>
          <w:lang w:eastAsia="en-US"/>
        </w:rPr>
        <w:t>scheme and over-the-counter</w:t>
      </w:r>
    </w:p>
    <w:p w14:paraId="6A29A48E" w14:textId="77777777" w:rsidR="005F6B1E" w:rsidRPr="005F6B1E" w:rsidRDefault="005F6B1E" w:rsidP="005F6B1E">
      <w:pPr>
        <w:jc w:val="both"/>
        <w:rPr>
          <w:rFonts w:ascii="Calibri" w:eastAsia="Times New Roman" w:hAnsi="Calibri" w:cs="Times New Roman"/>
          <w:i/>
          <w:iCs/>
          <w:color w:val="000000"/>
          <w:sz w:val="20"/>
          <w:szCs w:val="20"/>
        </w:rPr>
      </w:pPr>
      <w:r w:rsidRPr="005F6B1E">
        <w:rPr>
          <w:i/>
          <w:iCs/>
          <w:sz w:val="20"/>
          <w:szCs w:val="20"/>
          <w:lang w:eastAsia="en-US"/>
        </w:rPr>
        <w:t xml:space="preserve">Note: The cost under the PBS was for calendar years to allow comparison with </w:t>
      </w:r>
      <w:r w:rsidRPr="005F6B1E">
        <w:rPr>
          <w:rFonts w:cstheme="minorHAnsi"/>
          <w:i/>
          <w:iCs/>
          <w:sz w:val="20"/>
          <w:szCs w:val="20"/>
        </w:rPr>
        <w:t xml:space="preserve">Euromonitor </w:t>
      </w:r>
      <w:r w:rsidRPr="005F6B1E">
        <w:rPr>
          <w:rFonts w:ascii="Calibri" w:eastAsia="Times New Roman" w:hAnsi="Calibri" w:cs="Times New Roman"/>
          <w:i/>
          <w:iCs/>
          <w:color w:val="000000"/>
          <w:sz w:val="20"/>
          <w:szCs w:val="20"/>
        </w:rPr>
        <w:t>International report 2019 on NRT Smoking cessation aids in Australia [4].</w:t>
      </w:r>
    </w:p>
    <w:p w14:paraId="5A9AD318" w14:textId="77777777" w:rsidR="00C61211" w:rsidRDefault="003221FD" w:rsidP="00A4095B">
      <w:pPr>
        <w:rPr>
          <w:lang w:eastAsia="en-US"/>
        </w:rPr>
      </w:pPr>
      <w:r>
        <w:rPr>
          <w:noProof/>
        </w:rPr>
        <w:drawing>
          <wp:inline distT="0" distB="0" distL="0" distR="0" wp14:anchorId="5212689F" wp14:editId="274477C7">
            <wp:extent cx="5342890" cy="3338423"/>
            <wp:effectExtent l="0" t="0" r="10160" b="14605"/>
            <wp:docPr id="24" name="Chart 24">
              <a:extLst xmlns:a="http://schemas.openxmlformats.org/drawingml/2006/main">
                <a:ext uri="{FF2B5EF4-FFF2-40B4-BE49-F238E27FC236}">
                  <a16:creationId xmlns:a16="http://schemas.microsoft.com/office/drawing/2014/main" id="{2C1F6F08-092B-4B07-981D-2AC8672BF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A13510" w14:textId="77777777" w:rsidR="003221FD" w:rsidRDefault="003221FD" w:rsidP="00A4095B">
      <w:pPr>
        <w:rPr>
          <w:lang w:eastAsia="en-US"/>
        </w:rPr>
      </w:pPr>
      <w:r w:rsidRPr="003221FD">
        <w:rPr>
          <w:b/>
          <w:bCs/>
          <w:lang w:eastAsia="en-US"/>
        </w:rPr>
        <w:t xml:space="preserve">Figure </w:t>
      </w:r>
      <w:r w:rsidR="000933EE">
        <w:rPr>
          <w:b/>
          <w:bCs/>
          <w:lang w:eastAsia="en-US"/>
        </w:rPr>
        <w:t>10</w:t>
      </w:r>
      <w:r>
        <w:rPr>
          <w:lang w:eastAsia="en-US"/>
        </w:rPr>
        <w:t>. NRT cost market under the PBS from the overall NRT cost market</w:t>
      </w:r>
    </w:p>
    <w:p w14:paraId="437D4529" w14:textId="345A3332" w:rsidR="00141886" w:rsidRPr="00847FD3" w:rsidRDefault="00486248" w:rsidP="00847FD3">
      <w:pPr>
        <w:pStyle w:val="Heading3"/>
        <w:rPr>
          <w:rFonts w:asciiTheme="minorHAnsi" w:hAnsiTheme="minorHAnsi" w:cstheme="minorHAnsi"/>
          <w:b/>
          <w:i/>
          <w:iCs/>
          <w:sz w:val="28"/>
          <w:szCs w:val="28"/>
        </w:rPr>
      </w:pPr>
      <w:bookmarkStart w:id="43" w:name="_Toc72840897"/>
      <w:r>
        <w:rPr>
          <w:rFonts w:asciiTheme="minorHAnsi" w:hAnsiTheme="minorHAnsi" w:cstheme="minorHAnsi"/>
          <w:b/>
          <w:i/>
          <w:sz w:val="28"/>
          <w:szCs w:val="28"/>
        </w:rPr>
        <w:t>2.4</w:t>
      </w:r>
      <w:r w:rsidR="0061661B" w:rsidRPr="00847FD3">
        <w:rPr>
          <w:rFonts w:asciiTheme="minorHAnsi" w:hAnsiTheme="minorHAnsi" w:cstheme="minorHAnsi"/>
          <w:b/>
          <w:i/>
          <w:sz w:val="28"/>
          <w:szCs w:val="28"/>
        </w:rPr>
        <w:t xml:space="preserve">.2 </w:t>
      </w:r>
      <w:r w:rsidR="00141886" w:rsidRPr="00847FD3">
        <w:rPr>
          <w:rFonts w:asciiTheme="minorHAnsi" w:hAnsiTheme="minorHAnsi" w:cstheme="minorHAnsi"/>
          <w:b/>
          <w:i/>
          <w:sz w:val="28"/>
          <w:szCs w:val="28"/>
        </w:rPr>
        <w:t>Prevalent and incident population treated with PBS listed medicines for smoking cessation</w:t>
      </w:r>
      <w:bookmarkEnd w:id="43"/>
      <w:r w:rsidR="00141886" w:rsidRPr="00847FD3">
        <w:rPr>
          <w:rFonts w:asciiTheme="minorHAnsi" w:hAnsiTheme="minorHAnsi" w:cstheme="minorHAnsi"/>
          <w:b/>
          <w:i/>
          <w:sz w:val="28"/>
          <w:szCs w:val="28"/>
        </w:rPr>
        <w:t xml:space="preserve"> </w:t>
      </w:r>
    </w:p>
    <w:p w14:paraId="37D2FF07" w14:textId="77777777" w:rsidR="00941B4B" w:rsidRDefault="00941B4B" w:rsidP="00941B4B">
      <w:pPr>
        <w:rPr>
          <w:b/>
          <w:bCs/>
          <w:lang w:eastAsia="en-US"/>
        </w:rPr>
      </w:pPr>
      <w:r>
        <w:rPr>
          <w:b/>
          <w:bCs/>
          <w:lang w:eastAsia="en-US"/>
        </w:rPr>
        <w:t>Prevale</w:t>
      </w:r>
      <w:r w:rsidR="005353C7">
        <w:rPr>
          <w:b/>
          <w:bCs/>
          <w:lang w:eastAsia="en-US"/>
        </w:rPr>
        <w:t>nt population and characteristics</w:t>
      </w:r>
    </w:p>
    <w:p w14:paraId="348E7946" w14:textId="77777777" w:rsidR="004A44F2" w:rsidRDefault="00913935" w:rsidP="00913935">
      <w:pPr>
        <w:widowControl w:val="0"/>
        <w:rPr>
          <w:rFonts w:cstheme="minorHAnsi"/>
          <w:lang w:val="en-US"/>
        </w:rPr>
      </w:pPr>
      <w:r>
        <w:rPr>
          <w:rFonts w:cstheme="minorHAnsi"/>
          <w:lang w:val="en-US"/>
        </w:rPr>
        <w:t>Figure 1</w:t>
      </w:r>
      <w:r w:rsidR="007D41C0">
        <w:rPr>
          <w:rFonts w:cstheme="minorHAnsi"/>
          <w:lang w:val="en-US"/>
        </w:rPr>
        <w:t>1</w:t>
      </w:r>
      <w:r>
        <w:rPr>
          <w:rFonts w:cstheme="minorHAnsi"/>
          <w:lang w:val="en-US"/>
        </w:rPr>
        <w:t xml:space="preserve"> shows for each financial year the number of people who received at least one supply for any smoking cessation medicine in the given year. </w:t>
      </w:r>
      <w:r w:rsidR="001E382D" w:rsidRPr="00F33B6B">
        <w:rPr>
          <w:rFonts w:cstheme="minorHAnsi"/>
          <w:lang w:val="en-US"/>
        </w:rPr>
        <w:t xml:space="preserve">The number of prevalent people </w:t>
      </w:r>
      <w:r w:rsidR="004A7391">
        <w:rPr>
          <w:rFonts w:cstheme="minorHAnsi"/>
          <w:lang w:val="en-US"/>
        </w:rPr>
        <w:t>de</w:t>
      </w:r>
      <w:r w:rsidR="001E382D" w:rsidRPr="00F33B6B">
        <w:rPr>
          <w:rFonts w:cstheme="minorHAnsi"/>
          <w:lang w:val="en-US"/>
        </w:rPr>
        <w:t xml:space="preserve">creased from </w:t>
      </w:r>
      <w:r w:rsidR="001E382D">
        <w:rPr>
          <w:rFonts w:cstheme="minorHAnsi"/>
          <w:lang w:val="en-US"/>
        </w:rPr>
        <w:t>421,009 in 2010/2011 to 265,544 in 2019/2020.</w:t>
      </w:r>
      <w:r w:rsidR="00FF5259">
        <w:rPr>
          <w:rFonts w:cstheme="minorHAnsi"/>
          <w:lang w:val="en-US"/>
        </w:rPr>
        <w:t xml:space="preserve"> </w:t>
      </w:r>
    </w:p>
    <w:p w14:paraId="58CF4214" w14:textId="77777777" w:rsidR="00941B4B" w:rsidRDefault="00941B4B" w:rsidP="00941B4B">
      <w:pPr>
        <w:rPr>
          <w:b/>
          <w:bCs/>
          <w:lang w:eastAsia="en-US"/>
        </w:rPr>
      </w:pPr>
      <w:r>
        <w:rPr>
          <w:noProof/>
        </w:rPr>
        <w:drawing>
          <wp:inline distT="0" distB="0" distL="0" distR="0" wp14:anchorId="08B3C2DF" wp14:editId="7347939D">
            <wp:extent cx="5019675" cy="2549525"/>
            <wp:effectExtent l="0" t="0" r="9525" b="3175"/>
            <wp:docPr id="25" name="Chart 25">
              <a:extLst xmlns:a="http://schemas.openxmlformats.org/drawingml/2006/main">
                <a:ext uri="{FF2B5EF4-FFF2-40B4-BE49-F238E27FC236}">
                  <a16:creationId xmlns:a16="http://schemas.microsoft.com/office/drawing/2014/main" id="{A8B479ED-9E51-422E-B654-8E8FA10CD2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26D654" w14:textId="77777777" w:rsidR="00941B4B" w:rsidRDefault="00941B4B" w:rsidP="00941B4B">
      <w:pPr>
        <w:rPr>
          <w:lang w:eastAsia="en-US"/>
        </w:rPr>
      </w:pPr>
      <w:r>
        <w:rPr>
          <w:b/>
          <w:bCs/>
          <w:lang w:eastAsia="en-US"/>
        </w:rPr>
        <w:t>Figure 1</w:t>
      </w:r>
      <w:r w:rsidR="007D41C0">
        <w:rPr>
          <w:b/>
          <w:bCs/>
          <w:lang w:eastAsia="en-US"/>
        </w:rPr>
        <w:t>1</w:t>
      </w:r>
      <w:r>
        <w:rPr>
          <w:b/>
          <w:bCs/>
          <w:lang w:eastAsia="en-US"/>
        </w:rPr>
        <w:t xml:space="preserve">. </w:t>
      </w:r>
      <w:r w:rsidR="00FF5259" w:rsidRPr="00FF5259">
        <w:rPr>
          <w:lang w:eastAsia="en-US"/>
        </w:rPr>
        <w:t xml:space="preserve">People prevalent to </w:t>
      </w:r>
      <w:r w:rsidR="00F22512">
        <w:rPr>
          <w:lang w:eastAsia="en-US"/>
        </w:rPr>
        <w:t xml:space="preserve">PBS-subsidised </w:t>
      </w:r>
      <w:r w:rsidR="00FF5259" w:rsidRPr="00FF5259">
        <w:rPr>
          <w:lang w:eastAsia="en-US"/>
        </w:rPr>
        <w:t>smoking cessation medicines</w:t>
      </w:r>
    </w:p>
    <w:p w14:paraId="46F91EEB" w14:textId="77777777" w:rsidR="002D1B0C" w:rsidRDefault="002D1B0C" w:rsidP="002D1B0C">
      <w:pPr>
        <w:widowControl w:val="0"/>
        <w:rPr>
          <w:rFonts w:cstheme="minorHAnsi"/>
          <w:lang w:val="en-US"/>
        </w:rPr>
      </w:pPr>
      <w:r>
        <w:rPr>
          <w:rFonts w:cstheme="minorHAnsi"/>
          <w:lang w:val="en-US"/>
        </w:rPr>
        <w:t>Varenicline continues to be the medicine most frequently supplied with 164,928 (6</w:t>
      </w:r>
      <w:r w:rsidR="00630CC5">
        <w:rPr>
          <w:rFonts w:cstheme="minorHAnsi"/>
          <w:lang w:val="en-US"/>
        </w:rPr>
        <w:t>0</w:t>
      </w:r>
      <w:r>
        <w:rPr>
          <w:rFonts w:cstheme="minorHAnsi"/>
          <w:lang w:val="en-US"/>
        </w:rPr>
        <w:t xml:space="preserve">%) people supplied with it at least once in 2019/2020, followed by 107,537 (40%) people who received at least one nicotine replacement therapy (Figure 12). </w:t>
      </w:r>
    </w:p>
    <w:p w14:paraId="5E24055F" w14:textId="77777777" w:rsidR="005353C7" w:rsidRDefault="005353C7" w:rsidP="00941B4B">
      <w:pPr>
        <w:rPr>
          <w:lang w:eastAsia="en-US"/>
        </w:rPr>
      </w:pPr>
      <w:r>
        <w:rPr>
          <w:noProof/>
        </w:rPr>
        <w:drawing>
          <wp:inline distT="0" distB="0" distL="0" distR="0" wp14:anchorId="1BF6ED7E" wp14:editId="6B01AD33">
            <wp:extent cx="5019675" cy="2663190"/>
            <wp:effectExtent l="0" t="0" r="9525" b="3810"/>
            <wp:docPr id="31" name="Chart 31">
              <a:extLst xmlns:a="http://schemas.openxmlformats.org/drawingml/2006/main">
                <a:ext uri="{FF2B5EF4-FFF2-40B4-BE49-F238E27FC236}">
                  <a16:creationId xmlns:a16="http://schemas.microsoft.com/office/drawing/2014/main" id="{DA479A65-2188-44B0-B749-E97452A3F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EEEBD9" w14:textId="77777777" w:rsidR="002D1B0C" w:rsidRDefault="005353C7" w:rsidP="002D1B0C">
      <w:pPr>
        <w:rPr>
          <w:lang w:eastAsia="en-US"/>
        </w:rPr>
      </w:pPr>
      <w:r w:rsidRPr="005353C7">
        <w:rPr>
          <w:b/>
          <w:bCs/>
          <w:lang w:eastAsia="en-US"/>
        </w:rPr>
        <w:t>Figure 1</w:t>
      </w:r>
      <w:r w:rsidR="007D41C0">
        <w:rPr>
          <w:b/>
          <w:bCs/>
          <w:lang w:eastAsia="en-US"/>
        </w:rPr>
        <w:t>2</w:t>
      </w:r>
      <w:r w:rsidRPr="005353C7">
        <w:rPr>
          <w:b/>
          <w:bCs/>
          <w:lang w:eastAsia="en-US"/>
        </w:rPr>
        <w:t>.</w:t>
      </w:r>
      <w:r>
        <w:rPr>
          <w:lang w:eastAsia="en-US"/>
        </w:rPr>
        <w:t xml:space="preserve"> People prevalent to smoking cessation therapy, by type of therapy</w:t>
      </w:r>
    </w:p>
    <w:p w14:paraId="7EDC75F9" w14:textId="77777777" w:rsidR="003F16CC" w:rsidRDefault="003F16CC" w:rsidP="003F16CC">
      <w:pPr>
        <w:widowControl w:val="0"/>
        <w:rPr>
          <w:rFonts w:cstheme="minorHAnsi"/>
          <w:lang w:val="en-US"/>
        </w:rPr>
      </w:pPr>
      <w:r>
        <w:rPr>
          <w:rFonts w:cstheme="minorHAnsi"/>
          <w:lang w:val="en-US"/>
        </w:rPr>
        <w:t xml:space="preserve">More men </w:t>
      </w:r>
      <w:r w:rsidR="002D1B0C">
        <w:rPr>
          <w:rFonts w:cstheme="minorHAnsi"/>
          <w:lang w:val="en-US"/>
        </w:rPr>
        <w:t xml:space="preserve">(52.5%) </w:t>
      </w:r>
      <w:r>
        <w:rPr>
          <w:rFonts w:cstheme="minorHAnsi"/>
          <w:lang w:val="en-US"/>
        </w:rPr>
        <w:t xml:space="preserve">than women </w:t>
      </w:r>
      <w:r w:rsidR="002D1B0C">
        <w:rPr>
          <w:rFonts w:cstheme="minorHAnsi"/>
          <w:lang w:val="en-US"/>
        </w:rPr>
        <w:t xml:space="preserve">(47.5%) </w:t>
      </w:r>
      <w:r>
        <w:rPr>
          <w:rFonts w:cstheme="minorHAnsi"/>
          <w:lang w:val="en-US"/>
        </w:rPr>
        <w:t>were supplied with smoking cessation medicines across all years (Figure 13).</w:t>
      </w:r>
    </w:p>
    <w:p w14:paraId="6AA6DC86" w14:textId="77777777" w:rsidR="00941B4B" w:rsidRDefault="007562FF" w:rsidP="00941B4B">
      <w:pPr>
        <w:rPr>
          <w:lang w:eastAsia="en-US"/>
        </w:rPr>
      </w:pPr>
      <w:r>
        <w:rPr>
          <w:noProof/>
        </w:rPr>
        <w:drawing>
          <wp:inline distT="0" distB="0" distL="0" distR="0" wp14:anchorId="3A5E60BC" wp14:editId="51B1D2A7">
            <wp:extent cx="5132705" cy="2609850"/>
            <wp:effectExtent l="0" t="0" r="10795" b="0"/>
            <wp:docPr id="30" name="Chart 30">
              <a:extLst xmlns:a="http://schemas.openxmlformats.org/drawingml/2006/main">
                <a:ext uri="{FF2B5EF4-FFF2-40B4-BE49-F238E27FC236}">
                  <a16:creationId xmlns:a16="http://schemas.microsoft.com/office/drawing/2014/main" id="{DD517274-AFE9-4373-BC86-0459E41FF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E66DF51" w14:textId="77777777" w:rsidR="00FF5259" w:rsidRDefault="00FF5259" w:rsidP="00941B4B">
      <w:pPr>
        <w:rPr>
          <w:lang w:eastAsia="en-US"/>
        </w:rPr>
      </w:pPr>
      <w:r w:rsidRPr="00FF5259">
        <w:rPr>
          <w:b/>
          <w:bCs/>
          <w:lang w:eastAsia="en-US"/>
        </w:rPr>
        <w:t>Figure 1</w:t>
      </w:r>
      <w:r w:rsidR="007D41C0">
        <w:rPr>
          <w:b/>
          <w:bCs/>
          <w:lang w:eastAsia="en-US"/>
        </w:rPr>
        <w:t>3</w:t>
      </w:r>
      <w:r>
        <w:rPr>
          <w:lang w:eastAsia="en-US"/>
        </w:rPr>
        <w:t xml:space="preserve">. </w:t>
      </w:r>
      <w:r w:rsidR="007562FF">
        <w:rPr>
          <w:lang w:eastAsia="en-US"/>
        </w:rPr>
        <w:t>People p</w:t>
      </w:r>
      <w:r>
        <w:rPr>
          <w:lang w:eastAsia="en-US"/>
        </w:rPr>
        <w:t>revalen</w:t>
      </w:r>
      <w:r w:rsidR="007562FF">
        <w:rPr>
          <w:lang w:eastAsia="en-US"/>
        </w:rPr>
        <w:t xml:space="preserve">t to </w:t>
      </w:r>
      <w:r w:rsidR="00F22512">
        <w:rPr>
          <w:lang w:eastAsia="en-US"/>
        </w:rPr>
        <w:t xml:space="preserve">PBS-subsidised </w:t>
      </w:r>
      <w:r w:rsidR="007562FF">
        <w:rPr>
          <w:lang w:eastAsia="en-US"/>
        </w:rPr>
        <w:t>smoking cessation therapy</w:t>
      </w:r>
      <w:r>
        <w:rPr>
          <w:lang w:eastAsia="en-US"/>
        </w:rPr>
        <w:t xml:space="preserve"> by </w:t>
      </w:r>
      <w:r w:rsidR="007562FF">
        <w:rPr>
          <w:lang w:eastAsia="en-US"/>
        </w:rPr>
        <w:t xml:space="preserve">year and </w:t>
      </w:r>
      <w:r>
        <w:rPr>
          <w:lang w:eastAsia="en-US"/>
        </w:rPr>
        <w:t>gender</w:t>
      </w:r>
    </w:p>
    <w:p w14:paraId="6B91E9B6" w14:textId="77777777" w:rsidR="002D1B0C" w:rsidRDefault="002D1B0C">
      <w:pPr>
        <w:spacing w:after="0"/>
        <w:rPr>
          <w:b/>
          <w:bCs/>
          <w:lang w:eastAsia="en-US"/>
        </w:rPr>
      </w:pPr>
    </w:p>
    <w:p w14:paraId="57BFC94D" w14:textId="77777777" w:rsidR="00FF5259" w:rsidRPr="00FF5259" w:rsidRDefault="00FF5259" w:rsidP="00941B4B">
      <w:pPr>
        <w:rPr>
          <w:b/>
          <w:bCs/>
          <w:lang w:eastAsia="en-US"/>
        </w:rPr>
      </w:pPr>
      <w:r w:rsidRPr="00FF5259">
        <w:rPr>
          <w:b/>
          <w:bCs/>
          <w:lang w:eastAsia="en-US"/>
        </w:rPr>
        <w:t>Inciden</w:t>
      </w:r>
      <w:r w:rsidR="0080259F">
        <w:rPr>
          <w:b/>
          <w:bCs/>
          <w:lang w:eastAsia="en-US"/>
        </w:rPr>
        <w:t>t populations and their characteristics</w:t>
      </w:r>
    </w:p>
    <w:p w14:paraId="739A753F" w14:textId="77777777" w:rsidR="00FF5259" w:rsidRDefault="00FF5259" w:rsidP="00941B4B">
      <w:pPr>
        <w:rPr>
          <w:rFonts w:cstheme="minorHAnsi"/>
          <w:lang w:val="en-US"/>
        </w:rPr>
      </w:pPr>
      <w:r>
        <w:rPr>
          <w:rFonts w:cstheme="minorHAnsi"/>
          <w:lang w:val="en-US"/>
        </w:rPr>
        <w:t>Figure 1</w:t>
      </w:r>
      <w:r w:rsidR="007D41C0">
        <w:rPr>
          <w:rFonts w:cstheme="minorHAnsi"/>
          <w:lang w:val="en-US"/>
        </w:rPr>
        <w:t>4</w:t>
      </w:r>
      <w:r>
        <w:rPr>
          <w:rFonts w:cstheme="minorHAnsi"/>
          <w:lang w:val="en-US"/>
        </w:rPr>
        <w:t xml:space="preserve"> shows for each financial year the number of people who initiated smoking cessation therapy after </w:t>
      </w:r>
      <w:r w:rsidR="003F16CC">
        <w:rPr>
          <w:rFonts w:cstheme="minorHAnsi"/>
          <w:lang w:val="en-US"/>
        </w:rPr>
        <w:t xml:space="preserve">a </w:t>
      </w:r>
      <w:r>
        <w:rPr>
          <w:rFonts w:cstheme="minorHAnsi"/>
          <w:lang w:val="en-US"/>
        </w:rPr>
        <w:t>one year period with no use</w:t>
      </w:r>
      <w:r w:rsidR="00BC2B0B">
        <w:rPr>
          <w:rFonts w:cstheme="minorHAnsi"/>
          <w:lang w:val="en-US"/>
        </w:rPr>
        <w:t xml:space="preserve"> (allowing for re-initiation)</w:t>
      </w:r>
      <w:r>
        <w:rPr>
          <w:rFonts w:cstheme="minorHAnsi"/>
          <w:lang w:val="en-US"/>
        </w:rPr>
        <w:t xml:space="preserve"> and </w:t>
      </w:r>
      <w:r w:rsidR="001900E2">
        <w:rPr>
          <w:rFonts w:cstheme="minorHAnsi"/>
          <w:lang w:val="en-US"/>
        </w:rPr>
        <w:t>the number of people who initiated therapy for the first time</w:t>
      </w:r>
      <w:r w:rsidR="006C0053">
        <w:rPr>
          <w:rFonts w:cstheme="minorHAnsi"/>
          <w:lang w:val="en-US"/>
        </w:rPr>
        <w:t xml:space="preserve"> since the start of the data (1 Jan 2008)</w:t>
      </w:r>
      <w:r w:rsidR="007D41C0">
        <w:rPr>
          <w:rFonts w:cstheme="minorHAnsi"/>
          <w:lang w:val="en-US"/>
        </w:rPr>
        <w:t>;</w:t>
      </w:r>
      <w:r w:rsidR="00071C24">
        <w:rPr>
          <w:rFonts w:cstheme="minorHAnsi"/>
          <w:lang w:val="en-US"/>
        </w:rPr>
        <w:t xml:space="preserve"> there were 64,543</w:t>
      </w:r>
      <w:r w:rsidR="002D1B0C">
        <w:rPr>
          <w:rFonts w:cstheme="minorHAnsi"/>
          <w:lang w:val="en-US"/>
        </w:rPr>
        <w:t xml:space="preserve"> (25%) </w:t>
      </w:r>
      <w:r w:rsidR="00071C24">
        <w:rPr>
          <w:rFonts w:cstheme="minorHAnsi"/>
          <w:lang w:val="en-US"/>
        </w:rPr>
        <w:t xml:space="preserve">people who initiated smoking cessation therapy for the first time ever, compared to 191,076 </w:t>
      </w:r>
      <w:r w:rsidR="002D1B0C">
        <w:rPr>
          <w:rFonts w:cstheme="minorHAnsi"/>
          <w:lang w:val="en-US"/>
        </w:rPr>
        <w:t>(7</w:t>
      </w:r>
      <w:r w:rsidR="00630CC5">
        <w:rPr>
          <w:rFonts w:cstheme="minorHAnsi"/>
          <w:lang w:val="en-US"/>
        </w:rPr>
        <w:t>5</w:t>
      </w:r>
      <w:r w:rsidR="002D1B0C">
        <w:rPr>
          <w:rFonts w:cstheme="minorHAnsi"/>
          <w:lang w:val="en-US"/>
        </w:rPr>
        <w:t xml:space="preserve">%) </w:t>
      </w:r>
      <w:r w:rsidR="00071C24">
        <w:rPr>
          <w:rFonts w:cstheme="minorHAnsi"/>
          <w:lang w:val="en-US"/>
        </w:rPr>
        <w:t xml:space="preserve">people who started therapy after </w:t>
      </w:r>
      <w:r w:rsidR="003F16CC">
        <w:rPr>
          <w:rFonts w:cstheme="minorHAnsi"/>
          <w:lang w:val="en-US"/>
        </w:rPr>
        <w:t xml:space="preserve">a period of at least </w:t>
      </w:r>
      <w:r w:rsidR="00071C24">
        <w:rPr>
          <w:rFonts w:cstheme="minorHAnsi"/>
          <w:lang w:val="en-US"/>
        </w:rPr>
        <w:t>one year of no use.</w:t>
      </w:r>
    </w:p>
    <w:p w14:paraId="0790EFC5" w14:textId="77777777" w:rsidR="001900E2" w:rsidRDefault="00CE513B" w:rsidP="00941B4B">
      <w:pPr>
        <w:rPr>
          <w:rFonts w:cstheme="minorHAnsi"/>
          <w:lang w:val="en-US"/>
        </w:rPr>
      </w:pPr>
      <w:r>
        <w:rPr>
          <w:noProof/>
        </w:rPr>
        <w:drawing>
          <wp:inline distT="0" distB="0" distL="0" distR="0" wp14:anchorId="2DEB4003" wp14:editId="350389C8">
            <wp:extent cx="5019675" cy="2505075"/>
            <wp:effectExtent l="0" t="0" r="9525" b="9525"/>
            <wp:docPr id="35" name="Chart 35">
              <a:extLst xmlns:a="http://schemas.openxmlformats.org/drawingml/2006/main">
                <a:ext uri="{FF2B5EF4-FFF2-40B4-BE49-F238E27FC236}">
                  <a16:creationId xmlns:a16="http://schemas.microsoft.com/office/drawing/2014/main" id="{6CD1FBFA-D540-4785-95E2-1F654290E4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4B1209" w14:textId="77777777" w:rsidR="001900E2" w:rsidRDefault="001900E2" w:rsidP="007D41C0">
      <w:pPr>
        <w:spacing w:after="0"/>
        <w:rPr>
          <w:rFonts w:cstheme="minorHAnsi"/>
          <w:lang w:val="en-US"/>
        </w:rPr>
      </w:pPr>
      <w:r w:rsidRPr="001900E2">
        <w:rPr>
          <w:rFonts w:cstheme="minorHAnsi"/>
          <w:b/>
          <w:bCs/>
          <w:lang w:val="en-US"/>
        </w:rPr>
        <w:t>Figure 1</w:t>
      </w:r>
      <w:r w:rsidR="007D41C0">
        <w:rPr>
          <w:rFonts w:cstheme="minorHAnsi"/>
          <w:b/>
          <w:bCs/>
          <w:lang w:val="en-US"/>
        </w:rPr>
        <w:t>4</w:t>
      </w:r>
      <w:r w:rsidRPr="001900E2">
        <w:rPr>
          <w:rFonts w:cstheme="minorHAnsi"/>
          <w:b/>
          <w:bCs/>
          <w:lang w:val="en-US"/>
        </w:rPr>
        <w:t>.</w:t>
      </w:r>
      <w:r>
        <w:rPr>
          <w:rFonts w:cstheme="minorHAnsi"/>
          <w:lang w:val="en-US"/>
        </w:rPr>
        <w:t xml:space="preserve"> People initiating o</w:t>
      </w:r>
      <w:r w:rsidR="00A24CF1">
        <w:rPr>
          <w:rFonts w:cstheme="minorHAnsi"/>
          <w:lang w:val="en-US"/>
        </w:rPr>
        <w:t>n</w:t>
      </w:r>
      <w:r>
        <w:rPr>
          <w:rFonts w:cstheme="minorHAnsi"/>
          <w:lang w:val="en-US"/>
        </w:rPr>
        <w:t xml:space="preserve"> smoking cessation therapies</w:t>
      </w:r>
    </w:p>
    <w:p w14:paraId="00FFC953" w14:textId="77777777" w:rsidR="007D41C0" w:rsidRDefault="007D41C0" w:rsidP="007D41C0">
      <w:pPr>
        <w:spacing w:after="0"/>
        <w:rPr>
          <w:rFonts w:cstheme="minorHAnsi"/>
          <w:i/>
          <w:iCs/>
          <w:sz w:val="20"/>
          <w:szCs w:val="20"/>
          <w:lang w:val="en-US"/>
        </w:rPr>
      </w:pPr>
      <w:r w:rsidRPr="007D41C0">
        <w:rPr>
          <w:rFonts w:cstheme="minorHAnsi"/>
          <w:i/>
          <w:iCs/>
          <w:sz w:val="20"/>
          <w:szCs w:val="20"/>
          <w:lang w:val="en-US"/>
        </w:rPr>
        <w:t>Note: The result for 2010/2011 is based on a baseline period between 1 Jan 2008 and 30 Jun 2010</w:t>
      </w:r>
    </w:p>
    <w:p w14:paraId="6FDB37C3" w14:textId="77777777" w:rsidR="00D57BB3" w:rsidRDefault="00D57BB3" w:rsidP="002D1B0C">
      <w:pPr>
        <w:widowControl w:val="0"/>
        <w:rPr>
          <w:rFonts w:cstheme="minorHAnsi"/>
          <w:lang w:val="en-US"/>
        </w:rPr>
      </w:pPr>
    </w:p>
    <w:p w14:paraId="47F7200A" w14:textId="53EB60DF" w:rsidR="002D1B0C" w:rsidRDefault="002D1B0C" w:rsidP="002D1B0C">
      <w:pPr>
        <w:widowControl w:val="0"/>
        <w:rPr>
          <w:rFonts w:cstheme="minorHAnsi"/>
          <w:lang w:val="en-US"/>
        </w:rPr>
      </w:pPr>
      <w:r>
        <w:rPr>
          <w:rFonts w:cstheme="minorHAnsi"/>
          <w:lang w:val="en-US"/>
        </w:rPr>
        <w:t xml:space="preserve">In 2019/2020, 37,151 people initiated varenicline for the first time followed by 26,784 people who initiated NRT and 608 people who initiated bupropion for the first time (Figure </w:t>
      </w:r>
      <w:r w:rsidR="00D57BB3">
        <w:rPr>
          <w:rFonts w:cstheme="minorHAnsi"/>
          <w:lang w:val="en-US"/>
        </w:rPr>
        <w:t>15)</w:t>
      </w:r>
    </w:p>
    <w:p w14:paraId="6E94E9BC" w14:textId="77777777" w:rsidR="00FF5259" w:rsidRDefault="007562FF" w:rsidP="00941B4B">
      <w:pPr>
        <w:rPr>
          <w:rFonts w:cstheme="minorHAnsi"/>
          <w:lang w:val="en-US"/>
        </w:rPr>
      </w:pPr>
      <w:r>
        <w:rPr>
          <w:noProof/>
        </w:rPr>
        <w:drawing>
          <wp:inline distT="0" distB="0" distL="0" distR="0" wp14:anchorId="63C99D90" wp14:editId="48AE8A55">
            <wp:extent cx="5153025" cy="2553335"/>
            <wp:effectExtent l="0" t="0" r="9525" b="18415"/>
            <wp:docPr id="29" name="Chart 29">
              <a:extLst xmlns:a="http://schemas.openxmlformats.org/drawingml/2006/main">
                <a:ext uri="{FF2B5EF4-FFF2-40B4-BE49-F238E27FC236}">
                  <a16:creationId xmlns:a16="http://schemas.microsoft.com/office/drawing/2014/main" id="{886F569D-2CCC-4416-9622-36384C16A1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D7C3C9" w14:textId="77777777" w:rsidR="007562FF" w:rsidRDefault="007562FF" w:rsidP="00941B4B">
      <w:pPr>
        <w:rPr>
          <w:rFonts w:cstheme="minorHAnsi"/>
          <w:lang w:val="en-US"/>
        </w:rPr>
      </w:pPr>
      <w:r w:rsidRPr="00F45138">
        <w:rPr>
          <w:rFonts w:cstheme="minorHAnsi"/>
          <w:b/>
          <w:bCs/>
          <w:lang w:val="en-US"/>
        </w:rPr>
        <w:t>Figure 1</w:t>
      </w:r>
      <w:r w:rsidR="007D41C0">
        <w:rPr>
          <w:rFonts w:cstheme="minorHAnsi"/>
          <w:b/>
          <w:bCs/>
          <w:lang w:val="en-US"/>
        </w:rPr>
        <w:t>5</w:t>
      </w:r>
      <w:r w:rsidRPr="00F45138">
        <w:rPr>
          <w:rFonts w:cstheme="minorHAnsi"/>
          <w:b/>
          <w:bCs/>
          <w:lang w:val="en-US"/>
        </w:rPr>
        <w:t>.</w:t>
      </w:r>
      <w:r>
        <w:rPr>
          <w:rFonts w:cstheme="minorHAnsi"/>
          <w:lang w:val="en-US"/>
        </w:rPr>
        <w:t xml:space="preserve"> </w:t>
      </w:r>
      <w:r w:rsidR="00F45138">
        <w:rPr>
          <w:rFonts w:cstheme="minorHAnsi"/>
          <w:lang w:val="en-US"/>
        </w:rPr>
        <w:t>People initiating smoking cessation therapy for the first time ever, by type of therapy</w:t>
      </w:r>
    </w:p>
    <w:p w14:paraId="2D7EE4D7" w14:textId="77777777" w:rsidR="00CB5EC7" w:rsidRDefault="00CB5EC7" w:rsidP="00941B4B">
      <w:pPr>
        <w:rPr>
          <w:rFonts w:cstheme="minorHAnsi"/>
          <w:lang w:val="en-US"/>
        </w:rPr>
      </w:pPr>
      <w:r w:rsidRPr="00446CC4">
        <w:rPr>
          <w:rFonts w:cstheme="minorHAnsi"/>
          <w:lang w:val="en-US"/>
        </w:rPr>
        <w:t xml:space="preserve">Figure 15a shows that people aged 35 to 54 accounted for most of the first ever initiators </w:t>
      </w:r>
      <w:r w:rsidR="00BD0265" w:rsidRPr="00446CC4">
        <w:rPr>
          <w:rFonts w:cstheme="minorHAnsi"/>
          <w:lang w:val="en-US"/>
        </w:rPr>
        <w:t xml:space="preserve">across the years </w:t>
      </w:r>
      <w:r w:rsidRPr="00446CC4">
        <w:rPr>
          <w:rFonts w:cstheme="minorHAnsi"/>
          <w:lang w:val="en-US"/>
        </w:rPr>
        <w:t>(Figure 15a), with 4 people per 1000 Australian in this age bracket initiating smoking cessation therapy for the first time ever in 2019/2020 (Figure 15b).</w:t>
      </w:r>
      <w:r w:rsidR="00BD0265" w:rsidRPr="00446CC4">
        <w:rPr>
          <w:rFonts w:cstheme="minorHAnsi"/>
          <w:lang w:val="en-US"/>
        </w:rPr>
        <w:t xml:space="preserve"> In 2019/2020, in any age bracket between 18 and 64, over half of the initiators were general beneficiaries (Figure 15c).</w:t>
      </w:r>
      <w:r w:rsidR="00BD0265">
        <w:rPr>
          <w:rFonts w:cstheme="minorHAnsi"/>
          <w:lang w:val="en-US"/>
        </w:rPr>
        <w:t xml:space="preserve">  </w:t>
      </w:r>
    </w:p>
    <w:p w14:paraId="781DD861" w14:textId="77777777" w:rsidR="00CB5EC7" w:rsidRDefault="00CB5EC7" w:rsidP="00941B4B">
      <w:pPr>
        <w:rPr>
          <w:rFonts w:cstheme="minorHAnsi"/>
          <w:lang w:val="en-US"/>
        </w:rPr>
      </w:pPr>
      <w:r>
        <w:rPr>
          <w:noProof/>
        </w:rPr>
        <w:drawing>
          <wp:inline distT="0" distB="0" distL="0" distR="0" wp14:anchorId="6AFDC3BB" wp14:editId="244AC982">
            <wp:extent cx="5105400" cy="2838450"/>
            <wp:effectExtent l="0" t="0" r="0" b="0"/>
            <wp:docPr id="22" name="Chart 22">
              <a:extLst xmlns:a="http://schemas.openxmlformats.org/drawingml/2006/main">
                <a:ext uri="{FF2B5EF4-FFF2-40B4-BE49-F238E27FC236}">
                  <a16:creationId xmlns:a16="http://schemas.microsoft.com/office/drawing/2014/main" id="{0297A7A7-1785-43AC-AF1D-600E2C7FE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02FDFF" w14:textId="77777777" w:rsidR="00CB5EC7" w:rsidRDefault="00CB5EC7" w:rsidP="00941B4B">
      <w:pPr>
        <w:rPr>
          <w:rFonts w:cstheme="minorHAnsi"/>
          <w:lang w:val="en-US"/>
        </w:rPr>
      </w:pPr>
      <w:r w:rsidRPr="00446CC4">
        <w:rPr>
          <w:rFonts w:cstheme="minorHAnsi"/>
          <w:b/>
          <w:bCs/>
          <w:lang w:val="en-US"/>
        </w:rPr>
        <w:t>Figure 15a.</w:t>
      </w:r>
      <w:r w:rsidRPr="00446CC4">
        <w:rPr>
          <w:rFonts w:cstheme="minorHAnsi"/>
          <w:lang w:val="en-US"/>
        </w:rPr>
        <w:t xml:space="preserve"> People initiating smoking cessation therapy for the first time ever, by age at initiation</w:t>
      </w:r>
    </w:p>
    <w:p w14:paraId="09D6E3C0" w14:textId="77777777" w:rsidR="00CB5EC7" w:rsidRDefault="00CB5EC7" w:rsidP="00941B4B">
      <w:pPr>
        <w:rPr>
          <w:rFonts w:cstheme="minorHAnsi"/>
          <w:lang w:val="en-US"/>
        </w:rPr>
      </w:pPr>
    </w:p>
    <w:p w14:paraId="13EBF480" w14:textId="77777777" w:rsidR="00CB5EC7" w:rsidRDefault="00CB5EC7" w:rsidP="00941B4B">
      <w:pPr>
        <w:rPr>
          <w:rFonts w:cstheme="minorHAnsi"/>
          <w:lang w:val="en-US"/>
        </w:rPr>
      </w:pPr>
      <w:r>
        <w:rPr>
          <w:noProof/>
        </w:rPr>
        <w:drawing>
          <wp:inline distT="0" distB="0" distL="0" distR="0" wp14:anchorId="64213B58" wp14:editId="69EE84DE">
            <wp:extent cx="4905375" cy="2743200"/>
            <wp:effectExtent l="0" t="0" r="9525" b="0"/>
            <wp:docPr id="28" name="Chart 28">
              <a:extLst xmlns:a="http://schemas.openxmlformats.org/drawingml/2006/main">
                <a:ext uri="{FF2B5EF4-FFF2-40B4-BE49-F238E27FC236}">
                  <a16:creationId xmlns:a16="http://schemas.microsoft.com/office/drawing/2014/main" id="{12BD18B4-F334-4620-BACB-F13E3FEA1E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0F8B5E" w14:textId="77777777" w:rsidR="00CB5EC7" w:rsidRDefault="00CB5EC7" w:rsidP="00CB5EC7">
      <w:pPr>
        <w:rPr>
          <w:rFonts w:cstheme="minorHAnsi"/>
          <w:lang w:val="en-US"/>
        </w:rPr>
      </w:pPr>
      <w:r w:rsidRPr="00446CC4">
        <w:rPr>
          <w:rFonts w:cstheme="minorHAnsi"/>
          <w:b/>
          <w:bCs/>
          <w:lang w:val="en-US"/>
        </w:rPr>
        <w:t>Figure 15b.</w:t>
      </w:r>
      <w:r w:rsidRPr="00446CC4">
        <w:rPr>
          <w:rFonts w:cstheme="minorHAnsi"/>
          <w:lang w:val="en-US"/>
        </w:rPr>
        <w:t xml:space="preserve"> Population rate per 1000 of first ever initiators of smoking cessation therapy in 2019/2020, by age at initiation</w:t>
      </w:r>
    </w:p>
    <w:p w14:paraId="1562902F" w14:textId="77777777" w:rsidR="00CB5EC7" w:rsidRDefault="00BD0265" w:rsidP="00941B4B">
      <w:pPr>
        <w:rPr>
          <w:rFonts w:cstheme="minorHAnsi"/>
          <w:lang w:val="en-US"/>
        </w:rPr>
      </w:pPr>
      <w:r>
        <w:rPr>
          <w:noProof/>
        </w:rPr>
        <w:drawing>
          <wp:inline distT="0" distB="0" distL="0" distR="0" wp14:anchorId="7E6C3A0C" wp14:editId="18FBD2CD">
            <wp:extent cx="5000625" cy="2838450"/>
            <wp:effectExtent l="0" t="0" r="9525" b="0"/>
            <wp:docPr id="32" name="Chart 32">
              <a:extLst xmlns:a="http://schemas.openxmlformats.org/drawingml/2006/main">
                <a:ext uri="{FF2B5EF4-FFF2-40B4-BE49-F238E27FC236}">
                  <a16:creationId xmlns:a16="http://schemas.microsoft.com/office/drawing/2014/main" id="{CEADF6BF-51E8-4709-A0E2-8D025B813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42184B" w14:textId="77777777" w:rsidR="00BD0265" w:rsidRDefault="00BD0265" w:rsidP="00BD0265">
      <w:pPr>
        <w:rPr>
          <w:rFonts w:cstheme="minorHAnsi"/>
          <w:lang w:val="en-US"/>
        </w:rPr>
      </w:pPr>
      <w:r w:rsidRPr="00446CC4">
        <w:rPr>
          <w:rFonts w:cstheme="minorHAnsi"/>
          <w:b/>
          <w:bCs/>
          <w:lang w:val="en-US"/>
        </w:rPr>
        <w:t>Figure 15c.</w:t>
      </w:r>
      <w:r w:rsidRPr="00446CC4">
        <w:rPr>
          <w:rFonts w:cstheme="minorHAnsi"/>
          <w:lang w:val="en-US"/>
        </w:rPr>
        <w:t xml:space="preserve"> People initiating smoking cessation therapy for the first time ever in 2019/2020, by age at initiation and beneficiary status</w:t>
      </w:r>
    </w:p>
    <w:p w14:paraId="5FAAB815" w14:textId="77777777" w:rsidR="00BD0265" w:rsidRDefault="00BD0265" w:rsidP="003F16CC">
      <w:pPr>
        <w:widowControl w:val="0"/>
        <w:rPr>
          <w:rFonts w:cstheme="minorHAnsi"/>
          <w:lang w:val="en-US"/>
        </w:rPr>
      </w:pPr>
    </w:p>
    <w:p w14:paraId="3364D85F" w14:textId="77777777" w:rsidR="003F16CC" w:rsidRDefault="003F16CC" w:rsidP="003F16CC">
      <w:pPr>
        <w:widowControl w:val="0"/>
        <w:rPr>
          <w:rFonts w:cstheme="minorHAnsi"/>
          <w:lang w:val="en-US"/>
        </w:rPr>
      </w:pPr>
      <w:r>
        <w:rPr>
          <w:rFonts w:cstheme="minorHAnsi"/>
          <w:lang w:val="en-US"/>
        </w:rPr>
        <w:t xml:space="preserve">Table 2 </w:t>
      </w:r>
      <w:r w:rsidRPr="00B71681">
        <w:rPr>
          <w:rFonts w:cstheme="minorHAnsi"/>
          <w:lang w:val="en-US"/>
        </w:rPr>
        <w:t>present</w:t>
      </w:r>
      <w:r>
        <w:rPr>
          <w:rFonts w:cstheme="minorHAnsi"/>
          <w:lang w:val="en-US"/>
        </w:rPr>
        <w:t>s</w:t>
      </w:r>
      <w:r w:rsidRPr="00B71681">
        <w:rPr>
          <w:rFonts w:cstheme="minorHAnsi"/>
          <w:lang w:val="en-US"/>
        </w:rPr>
        <w:t xml:space="preserve"> the mean and median age at the time of</w:t>
      </w:r>
      <w:r w:rsidR="00CB5EC7">
        <w:rPr>
          <w:rFonts w:cstheme="minorHAnsi"/>
          <w:lang w:val="en-US"/>
        </w:rPr>
        <w:t xml:space="preserve"> first ever </w:t>
      </w:r>
      <w:r w:rsidRPr="00B71681">
        <w:rPr>
          <w:rFonts w:cstheme="minorHAnsi"/>
          <w:lang w:val="en-US"/>
        </w:rPr>
        <w:t xml:space="preserve">initiation to </w:t>
      </w:r>
      <w:r>
        <w:rPr>
          <w:rFonts w:cstheme="minorHAnsi"/>
          <w:lang w:val="en-US"/>
        </w:rPr>
        <w:t xml:space="preserve">smoking cessation therapy </w:t>
      </w:r>
      <w:r w:rsidRPr="00B71681">
        <w:rPr>
          <w:rFonts w:cstheme="minorHAnsi"/>
          <w:lang w:val="en-US"/>
        </w:rPr>
        <w:t xml:space="preserve">stratified by </w:t>
      </w:r>
      <w:r>
        <w:rPr>
          <w:rFonts w:cstheme="minorHAnsi"/>
          <w:lang w:val="en-US"/>
        </w:rPr>
        <w:t xml:space="preserve">gender and year, </w:t>
      </w:r>
      <w:r w:rsidR="00A21ED4">
        <w:rPr>
          <w:rFonts w:cstheme="minorHAnsi"/>
          <w:lang w:val="en-US"/>
        </w:rPr>
        <w:t xml:space="preserve">while table 2a present the proportions by </w:t>
      </w:r>
      <w:r>
        <w:rPr>
          <w:rFonts w:cstheme="minorHAnsi"/>
          <w:lang w:val="en-US"/>
        </w:rPr>
        <w:t>the index of socio-economic disadvantage</w:t>
      </w:r>
      <w:r w:rsidRPr="00B71681">
        <w:rPr>
          <w:rFonts w:cstheme="minorHAnsi"/>
          <w:lang w:val="en-US"/>
        </w:rPr>
        <w:t xml:space="preserve">. </w:t>
      </w:r>
      <w:r>
        <w:rPr>
          <w:rFonts w:cstheme="minorHAnsi"/>
          <w:lang w:val="en-US"/>
        </w:rPr>
        <w:t>The mean and median age was similar between women and men and relatively consistent across the years</w:t>
      </w:r>
      <w:r w:rsidRPr="00A21ED4">
        <w:rPr>
          <w:rFonts w:cstheme="minorHAnsi"/>
          <w:lang w:val="en-US"/>
        </w:rPr>
        <w:t xml:space="preserve">. The </w:t>
      </w:r>
      <w:r w:rsidR="00C9125A" w:rsidRPr="00A21ED4">
        <w:rPr>
          <w:rFonts w:cstheme="minorHAnsi"/>
          <w:lang w:val="en-US"/>
        </w:rPr>
        <w:t xml:space="preserve">proportions in different categories of </w:t>
      </w:r>
      <w:r w:rsidRPr="00A21ED4">
        <w:rPr>
          <w:rFonts w:cstheme="minorHAnsi"/>
          <w:lang w:val="en-US"/>
        </w:rPr>
        <w:t xml:space="preserve">socio-economic disadvantage </w:t>
      </w:r>
      <w:r w:rsidR="00C9125A" w:rsidRPr="00A21ED4">
        <w:rPr>
          <w:rFonts w:cstheme="minorHAnsi"/>
          <w:lang w:val="en-US"/>
        </w:rPr>
        <w:t xml:space="preserve">index </w:t>
      </w:r>
      <w:r w:rsidRPr="00A21ED4">
        <w:rPr>
          <w:rFonts w:cstheme="minorHAnsi"/>
          <w:lang w:val="en-US"/>
        </w:rPr>
        <w:t>w</w:t>
      </w:r>
      <w:r w:rsidR="00C9125A" w:rsidRPr="00A21ED4">
        <w:rPr>
          <w:rFonts w:cstheme="minorHAnsi"/>
          <w:lang w:val="en-US"/>
        </w:rPr>
        <w:t>ere</w:t>
      </w:r>
      <w:r w:rsidRPr="00A21ED4">
        <w:rPr>
          <w:rFonts w:cstheme="minorHAnsi"/>
          <w:lang w:val="en-US"/>
        </w:rPr>
        <w:t xml:space="preserve"> consistent across the years</w:t>
      </w:r>
      <w:r w:rsidR="00C9125A" w:rsidRPr="00A21ED4">
        <w:rPr>
          <w:rFonts w:cstheme="minorHAnsi"/>
          <w:lang w:val="en-US"/>
        </w:rPr>
        <w:t xml:space="preserve"> and showed that above 72% of smokers were with the highest index range</w:t>
      </w:r>
      <w:r w:rsidRPr="00A21ED4">
        <w:rPr>
          <w:rFonts w:cstheme="minorHAnsi"/>
          <w:lang w:val="en-US"/>
        </w:rPr>
        <w:t>.</w:t>
      </w:r>
    </w:p>
    <w:p w14:paraId="3ECD722E" w14:textId="77777777" w:rsidR="00BD0265" w:rsidRDefault="00BD0265" w:rsidP="00341542">
      <w:pPr>
        <w:pStyle w:val="Caption"/>
        <w:rPr>
          <w:sz w:val="22"/>
          <w:szCs w:val="22"/>
        </w:rPr>
      </w:pPr>
      <w:bookmarkStart w:id="44" w:name="_Toc25146386"/>
    </w:p>
    <w:p w14:paraId="6AA214FE" w14:textId="77777777" w:rsidR="00BD0265" w:rsidRDefault="00BD0265" w:rsidP="00341542">
      <w:pPr>
        <w:pStyle w:val="Caption"/>
        <w:rPr>
          <w:sz w:val="22"/>
          <w:szCs w:val="22"/>
        </w:rPr>
      </w:pPr>
    </w:p>
    <w:p w14:paraId="670C3CA6" w14:textId="77777777" w:rsidR="00341542" w:rsidRDefault="00341542" w:rsidP="00341542">
      <w:pPr>
        <w:pStyle w:val="Caption"/>
        <w:rPr>
          <w:rFonts w:cstheme="minorHAnsi"/>
          <w:b w:val="0"/>
          <w:sz w:val="22"/>
          <w:szCs w:val="22"/>
          <w:lang w:val="en-US"/>
        </w:rPr>
      </w:pPr>
      <w:r w:rsidRPr="00263DE7">
        <w:rPr>
          <w:sz w:val="22"/>
          <w:szCs w:val="22"/>
        </w:rPr>
        <w:t xml:space="preserve">Table </w:t>
      </w:r>
      <w:r w:rsidR="00E24BB3">
        <w:rPr>
          <w:noProof/>
          <w:sz w:val="22"/>
          <w:szCs w:val="22"/>
        </w:rPr>
        <w:t>2</w:t>
      </w:r>
      <w:r w:rsidRPr="00263DE7">
        <w:rPr>
          <w:sz w:val="22"/>
          <w:szCs w:val="22"/>
        </w:rPr>
        <w:t>.</w:t>
      </w:r>
      <w:r w:rsidRPr="00263DE7">
        <w:rPr>
          <w:rFonts w:cstheme="minorHAnsi"/>
          <w:b w:val="0"/>
          <w:sz w:val="22"/>
          <w:szCs w:val="22"/>
          <w:lang w:val="en-US"/>
        </w:rPr>
        <w:t xml:space="preserve"> Age (years) at initiation to </w:t>
      </w:r>
      <w:r>
        <w:rPr>
          <w:rFonts w:cstheme="minorHAnsi"/>
          <w:b w:val="0"/>
          <w:sz w:val="22"/>
          <w:szCs w:val="22"/>
          <w:lang w:val="en-US"/>
        </w:rPr>
        <w:t>smoking cessation therapy</w:t>
      </w:r>
      <w:r w:rsidRPr="00263DE7">
        <w:rPr>
          <w:rFonts w:cstheme="minorHAnsi"/>
          <w:b w:val="0"/>
          <w:sz w:val="22"/>
          <w:szCs w:val="22"/>
          <w:lang w:val="en-US"/>
        </w:rPr>
        <w:t xml:space="preserve"> by gender and year</w:t>
      </w:r>
      <w:bookmarkEnd w:id="44"/>
    </w:p>
    <w:tbl>
      <w:tblPr>
        <w:tblW w:w="8923" w:type="dxa"/>
        <w:tblInd w:w="93" w:type="dxa"/>
        <w:tblLook w:val="04A0" w:firstRow="1" w:lastRow="0" w:firstColumn="1" w:lastColumn="0" w:noHBand="0" w:noVBand="1"/>
      </w:tblPr>
      <w:tblGrid>
        <w:gridCol w:w="1004"/>
        <w:gridCol w:w="883"/>
        <w:gridCol w:w="781"/>
        <w:gridCol w:w="753"/>
        <w:gridCol w:w="768"/>
        <w:gridCol w:w="753"/>
        <w:gridCol w:w="762"/>
        <w:gridCol w:w="762"/>
        <w:gridCol w:w="762"/>
        <w:gridCol w:w="762"/>
        <w:gridCol w:w="933"/>
      </w:tblGrid>
      <w:tr w:rsidR="009253C0" w:rsidRPr="00E46AB2" w14:paraId="716DF88F" w14:textId="77777777" w:rsidTr="00446CC4">
        <w:trPr>
          <w:trHeight w:val="290"/>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F871E" w14:textId="77777777" w:rsidR="00341542" w:rsidRPr="00E46AB2" w:rsidRDefault="00341542" w:rsidP="007C0926">
            <w:pPr>
              <w:spacing w:after="0"/>
              <w:rPr>
                <w:rFonts w:eastAsia="Times New Roman" w:cs="Times New Roman"/>
                <w:b/>
                <w:color w:val="000000"/>
                <w:sz w:val="20"/>
                <w:szCs w:val="20"/>
              </w:rPr>
            </w:pPr>
            <w:r w:rsidRPr="00E46AB2">
              <w:rPr>
                <w:rFonts w:eastAsia="Times New Roman" w:cs="Times New Roman"/>
                <w:b/>
                <w:color w:val="000000"/>
                <w:sz w:val="20"/>
                <w:szCs w:val="20"/>
              </w:rPr>
              <w:t>Year</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466F696F" w14:textId="77777777" w:rsidR="00341542" w:rsidRPr="00E46AB2" w:rsidRDefault="00341542" w:rsidP="007C0926">
            <w:pPr>
              <w:spacing w:after="0"/>
              <w:rPr>
                <w:rFonts w:eastAsia="Times New Roman" w:cs="Times New Roman"/>
                <w:b/>
                <w:color w:val="000000"/>
                <w:sz w:val="20"/>
                <w:szCs w:val="20"/>
              </w:rPr>
            </w:pPr>
            <w:r w:rsidRPr="00E46AB2">
              <w:rPr>
                <w:rFonts w:eastAsia="Times New Roman" w:cs="Times New Roman"/>
                <w:b/>
                <w:color w:val="000000"/>
                <w:sz w:val="20"/>
                <w:szCs w:val="20"/>
              </w:rPr>
              <w:t> </w:t>
            </w:r>
          </w:p>
        </w:tc>
        <w:tc>
          <w:tcPr>
            <w:tcW w:w="781" w:type="dxa"/>
            <w:tcBorders>
              <w:top w:val="single" w:sz="4" w:space="0" w:color="auto"/>
              <w:left w:val="nil"/>
              <w:bottom w:val="single" w:sz="4" w:space="0" w:color="auto"/>
              <w:right w:val="single" w:sz="4" w:space="0" w:color="auto"/>
            </w:tcBorders>
            <w:vAlign w:val="center"/>
          </w:tcPr>
          <w:p w14:paraId="3B2C9181" w14:textId="77777777" w:rsidR="00341542" w:rsidRPr="00E46AB2" w:rsidRDefault="00341542" w:rsidP="00341542">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2011/</w:t>
            </w:r>
          </w:p>
          <w:p w14:paraId="37D6D4F6" w14:textId="77777777" w:rsidR="00341542" w:rsidRPr="00E46AB2" w:rsidRDefault="00341542" w:rsidP="00341542">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4A5B4"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2012/</w:t>
            </w:r>
          </w:p>
          <w:p w14:paraId="7845B70A"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58BF3DE"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2013/</w:t>
            </w:r>
          </w:p>
          <w:p w14:paraId="05176198"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2014</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6D07C4CE"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2014/</w:t>
            </w:r>
          </w:p>
          <w:p w14:paraId="5E1602B4"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2015</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0D729493"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2015/</w:t>
            </w:r>
          </w:p>
          <w:p w14:paraId="7FBA956E"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2016</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3403887C"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2016/</w:t>
            </w:r>
          </w:p>
          <w:p w14:paraId="0697C9B4"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2017</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0821AAE7"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2017/</w:t>
            </w:r>
          </w:p>
          <w:p w14:paraId="0EA60F5A"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2018</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13A7A25A"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2018/</w:t>
            </w:r>
          </w:p>
          <w:p w14:paraId="210C0215"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2019</w:t>
            </w:r>
          </w:p>
        </w:tc>
        <w:tc>
          <w:tcPr>
            <w:tcW w:w="933" w:type="dxa"/>
            <w:tcBorders>
              <w:top w:val="single" w:sz="4" w:space="0" w:color="auto"/>
              <w:left w:val="nil"/>
              <w:bottom w:val="single" w:sz="4" w:space="0" w:color="auto"/>
              <w:right w:val="single" w:sz="4" w:space="0" w:color="auto"/>
            </w:tcBorders>
            <w:vAlign w:val="center"/>
          </w:tcPr>
          <w:p w14:paraId="64B8999F"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2019/</w:t>
            </w:r>
          </w:p>
          <w:p w14:paraId="18EA593B"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2020</w:t>
            </w:r>
          </w:p>
        </w:tc>
      </w:tr>
      <w:tr w:rsidR="009253C0" w:rsidRPr="00E46AB2" w14:paraId="5325964B" w14:textId="77777777" w:rsidTr="00446CC4">
        <w:trPr>
          <w:trHeight w:val="29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22E574C5" w14:textId="77777777" w:rsidR="00341542" w:rsidRPr="00E46AB2" w:rsidRDefault="00341542" w:rsidP="007C0926">
            <w:pPr>
              <w:spacing w:after="0"/>
              <w:rPr>
                <w:rFonts w:eastAsia="Times New Roman" w:cs="Times New Roman"/>
                <w:b/>
                <w:color w:val="000000"/>
                <w:sz w:val="20"/>
                <w:szCs w:val="20"/>
              </w:rPr>
            </w:pPr>
            <w:r w:rsidRPr="00E46AB2">
              <w:rPr>
                <w:rFonts w:eastAsia="Times New Roman" w:cs="Times New Roman"/>
                <w:b/>
                <w:color w:val="000000"/>
                <w:sz w:val="20"/>
                <w:szCs w:val="20"/>
              </w:rPr>
              <w:t>Women</w:t>
            </w:r>
          </w:p>
        </w:tc>
        <w:tc>
          <w:tcPr>
            <w:tcW w:w="883" w:type="dxa"/>
            <w:tcBorders>
              <w:top w:val="nil"/>
              <w:left w:val="nil"/>
              <w:bottom w:val="single" w:sz="4" w:space="0" w:color="auto"/>
              <w:right w:val="single" w:sz="4" w:space="0" w:color="auto"/>
            </w:tcBorders>
            <w:shd w:val="clear" w:color="auto" w:fill="auto"/>
            <w:noWrap/>
            <w:vAlign w:val="center"/>
            <w:hideMark/>
          </w:tcPr>
          <w:p w14:paraId="57BD75EB" w14:textId="77777777" w:rsidR="00341542" w:rsidRPr="00E46AB2" w:rsidRDefault="00341542" w:rsidP="007C0926">
            <w:pPr>
              <w:spacing w:after="0"/>
              <w:rPr>
                <w:rFonts w:eastAsia="Times New Roman" w:cs="Times New Roman"/>
                <w:color w:val="000000"/>
                <w:sz w:val="20"/>
                <w:szCs w:val="20"/>
              </w:rPr>
            </w:pPr>
            <w:r w:rsidRPr="00E46AB2">
              <w:rPr>
                <w:rFonts w:eastAsia="Times New Roman" w:cs="Times New Roman"/>
                <w:color w:val="000000"/>
                <w:sz w:val="20"/>
                <w:szCs w:val="20"/>
              </w:rPr>
              <w:t>Mean</w:t>
            </w:r>
            <w:r w:rsidR="00591853">
              <w:rPr>
                <w:rFonts w:eastAsia="Times New Roman" w:cs="Times New Roman"/>
                <w:color w:val="000000"/>
                <w:sz w:val="20"/>
                <w:szCs w:val="20"/>
              </w:rPr>
              <w:t xml:space="preserve"> </w:t>
            </w:r>
          </w:p>
        </w:tc>
        <w:tc>
          <w:tcPr>
            <w:tcW w:w="781" w:type="dxa"/>
            <w:tcBorders>
              <w:top w:val="single" w:sz="4" w:space="0" w:color="auto"/>
              <w:left w:val="nil"/>
              <w:bottom w:val="single" w:sz="4" w:space="0" w:color="auto"/>
              <w:right w:val="single" w:sz="4" w:space="0" w:color="auto"/>
            </w:tcBorders>
            <w:vAlign w:val="center"/>
          </w:tcPr>
          <w:p w14:paraId="1A6195BC"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CBA0D36"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68" w:type="dxa"/>
            <w:tcBorders>
              <w:top w:val="nil"/>
              <w:left w:val="nil"/>
              <w:bottom w:val="single" w:sz="4" w:space="0" w:color="auto"/>
              <w:right w:val="single" w:sz="4" w:space="0" w:color="auto"/>
            </w:tcBorders>
            <w:shd w:val="clear" w:color="auto" w:fill="auto"/>
            <w:noWrap/>
            <w:vAlign w:val="center"/>
            <w:hideMark/>
          </w:tcPr>
          <w:p w14:paraId="7899A821"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53" w:type="dxa"/>
            <w:tcBorders>
              <w:top w:val="nil"/>
              <w:left w:val="nil"/>
              <w:bottom w:val="single" w:sz="4" w:space="0" w:color="auto"/>
              <w:right w:val="single" w:sz="4" w:space="0" w:color="auto"/>
            </w:tcBorders>
            <w:shd w:val="clear" w:color="auto" w:fill="auto"/>
            <w:noWrap/>
            <w:vAlign w:val="center"/>
            <w:hideMark/>
          </w:tcPr>
          <w:p w14:paraId="39D40030"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62" w:type="dxa"/>
            <w:tcBorders>
              <w:top w:val="nil"/>
              <w:left w:val="nil"/>
              <w:bottom w:val="single" w:sz="4" w:space="0" w:color="auto"/>
              <w:right w:val="single" w:sz="4" w:space="0" w:color="auto"/>
            </w:tcBorders>
            <w:shd w:val="clear" w:color="auto" w:fill="auto"/>
            <w:noWrap/>
            <w:vAlign w:val="center"/>
            <w:hideMark/>
          </w:tcPr>
          <w:p w14:paraId="1517F134"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762" w:type="dxa"/>
            <w:tcBorders>
              <w:top w:val="nil"/>
              <w:left w:val="nil"/>
              <w:bottom w:val="single" w:sz="4" w:space="0" w:color="auto"/>
              <w:right w:val="single" w:sz="4" w:space="0" w:color="auto"/>
            </w:tcBorders>
            <w:shd w:val="clear" w:color="auto" w:fill="auto"/>
            <w:noWrap/>
            <w:vAlign w:val="center"/>
            <w:hideMark/>
          </w:tcPr>
          <w:p w14:paraId="528D2178"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762" w:type="dxa"/>
            <w:tcBorders>
              <w:top w:val="nil"/>
              <w:left w:val="nil"/>
              <w:bottom w:val="single" w:sz="4" w:space="0" w:color="auto"/>
              <w:right w:val="single" w:sz="4" w:space="0" w:color="auto"/>
            </w:tcBorders>
            <w:shd w:val="clear" w:color="auto" w:fill="auto"/>
            <w:noWrap/>
            <w:vAlign w:val="center"/>
            <w:hideMark/>
          </w:tcPr>
          <w:p w14:paraId="0B49E0AC"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762" w:type="dxa"/>
            <w:tcBorders>
              <w:top w:val="nil"/>
              <w:left w:val="nil"/>
              <w:bottom w:val="single" w:sz="4" w:space="0" w:color="auto"/>
              <w:right w:val="single" w:sz="4" w:space="0" w:color="auto"/>
            </w:tcBorders>
            <w:shd w:val="clear" w:color="auto" w:fill="auto"/>
            <w:noWrap/>
            <w:vAlign w:val="center"/>
            <w:hideMark/>
          </w:tcPr>
          <w:p w14:paraId="2C3CE56D"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44</w:t>
            </w:r>
          </w:p>
        </w:tc>
        <w:tc>
          <w:tcPr>
            <w:tcW w:w="933" w:type="dxa"/>
            <w:tcBorders>
              <w:top w:val="single" w:sz="4" w:space="0" w:color="auto"/>
              <w:left w:val="nil"/>
              <w:bottom w:val="single" w:sz="4" w:space="0" w:color="auto"/>
              <w:right w:val="single" w:sz="4" w:space="0" w:color="auto"/>
            </w:tcBorders>
            <w:vAlign w:val="center"/>
          </w:tcPr>
          <w:p w14:paraId="373A5041"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44</w:t>
            </w:r>
          </w:p>
        </w:tc>
      </w:tr>
      <w:tr w:rsidR="009253C0" w:rsidRPr="00E46AB2" w14:paraId="47E5D55E" w14:textId="77777777" w:rsidTr="00446CC4">
        <w:trPr>
          <w:trHeight w:val="29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64039C6D" w14:textId="77777777" w:rsidR="00341542" w:rsidRPr="00E46AB2" w:rsidRDefault="0080259F" w:rsidP="007C0926">
            <w:pPr>
              <w:spacing w:after="0"/>
              <w:rPr>
                <w:rFonts w:eastAsia="Times New Roman" w:cs="Times New Roman"/>
                <w:b/>
                <w:color w:val="000000"/>
                <w:sz w:val="20"/>
                <w:szCs w:val="20"/>
              </w:rPr>
            </w:pPr>
            <w:r w:rsidRPr="00E46AB2">
              <w:rPr>
                <w:rFonts w:eastAsia="Times New Roman" w:cs="Times New Roman"/>
                <w:b/>
                <w:color w:val="000000"/>
                <w:sz w:val="20"/>
                <w:szCs w:val="20"/>
              </w:rPr>
              <w:t>Women</w:t>
            </w:r>
          </w:p>
        </w:tc>
        <w:tc>
          <w:tcPr>
            <w:tcW w:w="883" w:type="dxa"/>
            <w:tcBorders>
              <w:top w:val="nil"/>
              <w:left w:val="nil"/>
              <w:bottom w:val="single" w:sz="4" w:space="0" w:color="auto"/>
              <w:right w:val="single" w:sz="4" w:space="0" w:color="auto"/>
            </w:tcBorders>
            <w:shd w:val="clear" w:color="auto" w:fill="auto"/>
            <w:noWrap/>
            <w:vAlign w:val="center"/>
            <w:hideMark/>
          </w:tcPr>
          <w:p w14:paraId="7994F1FD" w14:textId="77777777" w:rsidR="00341542" w:rsidRPr="00E46AB2" w:rsidRDefault="00341542" w:rsidP="007C0926">
            <w:pPr>
              <w:spacing w:after="0"/>
              <w:rPr>
                <w:rFonts w:eastAsia="Times New Roman" w:cs="Times New Roman"/>
                <w:color w:val="000000"/>
                <w:sz w:val="20"/>
                <w:szCs w:val="20"/>
              </w:rPr>
            </w:pPr>
            <w:r w:rsidRPr="00E46AB2">
              <w:rPr>
                <w:rFonts w:eastAsia="Times New Roman" w:cs="Times New Roman"/>
                <w:color w:val="000000"/>
                <w:sz w:val="20"/>
                <w:szCs w:val="20"/>
              </w:rPr>
              <w:t>Median</w:t>
            </w:r>
            <w:r w:rsidR="00591853">
              <w:rPr>
                <w:rFonts w:eastAsia="Times New Roman" w:cs="Times New Roman"/>
                <w:color w:val="000000"/>
                <w:sz w:val="20"/>
                <w:szCs w:val="20"/>
              </w:rPr>
              <w:t xml:space="preserve"> </w:t>
            </w:r>
          </w:p>
        </w:tc>
        <w:tc>
          <w:tcPr>
            <w:tcW w:w="781" w:type="dxa"/>
            <w:tcBorders>
              <w:top w:val="single" w:sz="4" w:space="0" w:color="auto"/>
              <w:left w:val="nil"/>
              <w:bottom w:val="single" w:sz="4" w:space="0" w:color="auto"/>
              <w:right w:val="single" w:sz="4" w:space="0" w:color="auto"/>
            </w:tcBorders>
            <w:vAlign w:val="center"/>
          </w:tcPr>
          <w:p w14:paraId="6214626E"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31108FA"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68" w:type="dxa"/>
            <w:tcBorders>
              <w:top w:val="nil"/>
              <w:left w:val="nil"/>
              <w:bottom w:val="single" w:sz="4" w:space="0" w:color="auto"/>
              <w:right w:val="single" w:sz="4" w:space="0" w:color="auto"/>
            </w:tcBorders>
            <w:shd w:val="clear" w:color="auto" w:fill="auto"/>
            <w:noWrap/>
            <w:vAlign w:val="center"/>
            <w:hideMark/>
          </w:tcPr>
          <w:p w14:paraId="7F9231B0"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53" w:type="dxa"/>
            <w:tcBorders>
              <w:top w:val="nil"/>
              <w:left w:val="nil"/>
              <w:bottom w:val="single" w:sz="4" w:space="0" w:color="auto"/>
              <w:right w:val="single" w:sz="4" w:space="0" w:color="auto"/>
            </w:tcBorders>
            <w:shd w:val="clear" w:color="auto" w:fill="auto"/>
            <w:noWrap/>
            <w:vAlign w:val="center"/>
            <w:hideMark/>
          </w:tcPr>
          <w:p w14:paraId="26892918"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62" w:type="dxa"/>
            <w:tcBorders>
              <w:top w:val="nil"/>
              <w:left w:val="nil"/>
              <w:bottom w:val="single" w:sz="4" w:space="0" w:color="auto"/>
              <w:right w:val="single" w:sz="4" w:space="0" w:color="auto"/>
            </w:tcBorders>
            <w:shd w:val="clear" w:color="auto" w:fill="auto"/>
            <w:noWrap/>
            <w:vAlign w:val="center"/>
            <w:hideMark/>
          </w:tcPr>
          <w:p w14:paraId="76FA56CE"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762" w:type="dxa"/>
            <w:tcBorders>
              <w:top w:val="nil"/>
              <w:left w:val="nil"/>
              <w:bottom w:val="single" w:sz="4" w:space="0" w:color="auto"/>
              <w:right w:val="single" w:sz="4" w:space="0" w:color="auto"/>
            </w:tcBorders>
            <w:shd w:val="clear" w:color="auto" w:fill="auto"/>
            <w:noWrap/>
            <w:vAlign w:val="center"/>
            <w:hideMark/>
          </w:tcPr>
          <w:p w14:paraId="7CE11BE9"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762" w:type="dxa"/>
            <w:tcBorders>
              <w:top w:val="nil"/>
              <w:left w:val="nil"/>
              <w:bottom w:val="single" w:sz="4" w:space="0" w:color="auto"/>
              <w:right w:val="single" w:sz="4" w:space="0" w:color="auto"/>
            </w:tcBorders>
            <w:shd w:val="clear" w:color="auto" w:fill="auto"/>
            <w:noWrap/>
            <w:vAlign w:val="center"/>
            <w:hideMark/>
          </w:tcPr>
          <w:p w14:paraId="62F8BC3E"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762" w:type="dxa"/>
            <w:tcBorders>
              <w:top w:val="nil"/>
              <w:left w:val="nil"/>
              <w:bottom w:val="single" w:sz="4" w:space="0" w:color="auto"/>
              <w:right w:val="single" w:sz="4" w:space="0" w:color="auto"/>
            </w:tcBorders>
            <w:shd w:val="clear" w:color="auto" w:fill="auto"/>
            <w:noWrap/>
            <w:vAlign w:val="center"/>
            <w:hideMark/>
          </w:tcPr>
          <w:p w14:paraId="7B5A8770"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44</w:t>
            </w:r>
          </w:p>
        </w:tc>
        <w:tc>
          <w:tcPr>
            <w:tcW w:w="933" w:type="dxa"/>
            <w:tcBorders>
              <w:top w:val="single" w:sz="4" w:space="0" w:color="auto"/>
              <w:left w:val="nil"/>
              <w:bottom w:val="single" w:sz="4" w:space="0" w:color="auto"/>
              <w:right w:val="single" w:sz="4" w:space="0" w:color="auto"/>
            </w:tcBorders>
            <w:vAlign w:val="center"/>
          </w:tcPr>
          <w:p w14:paraId="5B0AC9A0"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44</w:t>
            </w:r>
          </w:p>
        </w:tc>
      </w:tr>
      <w:tr w:rsidR="009253C0" w:rsidRPr="00E46AB2" w14:paraId="1B9E0403" w14:textId="77777777" w:rsidTr="00446CC4">
        <w:trPr>
          <w:trHeight w:val="29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5737539C" w14:textId="77777777" w:rsidR="00341542" w:rsidRPr="00E46AB2" w:rsidRDefault="00341542" w:rsidP="007C0926">
            <w:pPr>
              <w:spacing w:after="0"/>
              <w:rPr>
                <w:rFonts w:eastAsia="Times New Roman" w:cs="Times New Roman"/>
                <w:b/>
                <w:color w:val="000000"/>
                <w:sz w:val="20"/>
                <w:szCs w:val="20"/>
              </w:rPr>
            </w:pPr>
            <w:r w:rsidRPr="00E46AB2">
              <w:rPr>
                <w:rFonts w:eastAsia="Times New Roman" w:cs="Times New Roman"/>
                <w:b/>
                <w:color w:val="000000"/>
                <w:sz w:val="20"/>
                <w:szCs w:val="20"/>
              </w:rPr>
              <w:t>Men</w:t>
            </w:r>
          </w:p>
        </w:tc>
        <w:tc>
          <w:tcPr>
            <w:tcW w:w="883" w:type="dxa"/>
            <w:tcBorders>
              <w:top w:val="nil"/>
              <w:left w:val="nil"/>
              <w:bottom w:val="single" w:sz="4" w:space="0" w:color="auto"/>
              <w:right w:val="single" w:sz="4" w:space="0" w:color="auto"/>
            </w:tcBorders>
            <w:shd w:val="clear" w:color="auto" w:fill="auto"/>
            <w:noWrap/>
            <w:vAlign w:val="center"/>
            <w:hideMark/>
          </w:tcPr>
          <w:p w14:paraId="008F670F" w14:textId="77777777" w:rsidR="00341542" w:rsidRPr="00E46AB2" w:rsidRDefault="00341542" w:rsidP="007C0926">
            <w:pPr>
              <w:spacing w:after="0"/>
              <w:rPr>
                <w:rFonts w:eastAsia="Times New Roman" w:cs="Times New Roman"/>
                <w:color w:val="000000"/>
                <w:sz w:val="20"/>
                <w:szCs w:val="20"/>
              </w:rPr>
            </w:pPr>
            <w:r w:rsidRPr="00E46AB2">
              <w:rPr>
                <w:rFonts w:eastAsia="Times New Roman" w:cs="Times New Roman"/>
                <w:color w:val="000000"/>
                <w:sz w:val="20"/>
                <w:szCs w:val="20"/>
              </w:rPr>
              <w:t>Mean</w:t>
            </w:r>
          </w:p>
        </w:tc>
        <w:tc>
          <w:tcPr>
            <w:tcW w:w="781" w:type="dxa"/>
            <w:tcBorders>
              <w:top w:val="single" w:sz="4" w:space="0" w:color="auto"/>
              <w:left w:val="nil"/>
              <w:bottom w:val="single" w:sz="4" w:space="0" w:color="auto"/>
              <w:right w:val="single" w:sz="4" w:space="0" w:color="auto"/>
            </w:tcBorders>
            <w:vAlign w:val="center"/>
          </w:tcPr>
          <w:p w14:paraId="187166B2"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17D6FA4"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768" w:type="dxa"/>
            <w:tcBorders>
              <w:top w:val="nil"/>
              <w:left w:val="nil"/>
              <w:bottom w:val="single" w:sz="4" w:space="0" w:color="auto"/>
              <w:right w:val="single" w:sz="4" w:space="0" w:color="auto"/>
            </w:tcBorders>
            <w:shd w:val="clear" w:color="auto" w:fill="auto"/>
            <w:noWrap/>
            <w:vAlign w:val="center"/>
            <w:hideMark/>
          </w:tcPr>
          <w:p w14:paraId="5430B5AA"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53" w:type="dxa"/>
            <w:tcBorders>
              <w:top w:val="nil"/>
              <w:left w:val="nil"/>
              <w:bottom w:val="single" w:sz="4" w:space="0" w:color="auto"/>
              <w:right w:val="single" w:sz="4" w:space="0" w:color="auto"/>
            </w:tcBorders>
            <w:shd w:val="clear" w:color="auto" w:fill="auto"/>
            <w:noWrap/>
            <w:vAlign w:val="center"/>
            <w:hideMark/>
          </w:tcPr>
          <w:p w14:paraId="6BB61D10"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62" w:type="dxa"/>
            <w:tcBorders>
              <w:top w:val="nil"/>
              <w:left w:val="nil"/>
              <w:bottom w:val="single" w:sz="4" w:space="0" w:color="auto"/>
              <w:right w:val="single" w:sz="4" w:space="0" w:color="auto"/>
            </w:tcBorders>
            <w:shd w:val="clear" w:color="auto" w:fill="auto"/>
            <w:noWrap/>
            <w:vAlign w:val="center"/>
            <w:hideMark/>
          </w:tcPr>
          <w:p w14:paraId="4485D4A4"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62" w:type="dxa"/>
            <w:tcBorders>
              <w:top w:val="nil"/>
              <w:left w:val="nil"/>
              <w:bottom w:val="single" w:sz="4" w:space="0" w:color="auto"/>
              <w:right w:val="single" w:sz="4" w:space="0" w:color="auto"/>
            </w:tcBorders>
            <w:shd w:val="clear" w:color="auto" w:fill="auto"/>
            <w:noWrap/>
            <w:vAlign w:val="center"/>
            <w:hideMark/>
          </w:tcPr>
          <w:p w14:paraId="5D3B6BB9"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62" w:type="dxa"/>
            <w:tcBorders>
              <w:top w:val="nil"/>
              <w:left w:val="nil"/>
              <w:bottom w:val="single" w:sz="4" w:space="0" w:color="auto"/>
              <w:right w:val="single" w:sz="4" w:space="0" w:color="auto"/>
            </w:tcBorders>
            <w:shd w:val="clear" w:color="auto" w:fill="auto"/>
            <w:noWrap/>
            <w:vAlign w:val="center"/>
            <w:hideMark/>
          </w:tcPr>
          <w:p w14:paraId="4BA0715F"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762" w:type="dxa"/>
            <w:tcBorders>
              <w:top w:val="nil"/>
              <w:left w:val="nil"/>
              <w:bottom w:val="single" w:sz="4" w:space="0" w:color="auto"/>
              <w:right w:val="single" w:sz="4" w:space="0" w:color="auto"/>
            </w:tcBorders>
            <w:shd w:val="clear" w:color="auto" w:fill="auto"/>
            <w:noWrap/>
            <w:vAlign w:val="center"/>
            <w:hideMark/>
          </w:tcPr>
          <w:p w14:paraId="652A2931"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933" w:type="dxa"/>
            <w:tcBorders>
              <w:top w:val="single" w:sz="4" w:space="0" w:color="auto"/>
              <w:left w:val="nil"/>
              <w:bottom w:val="single" w:sz="4" w:space="0" w:color="auto"/>
              <w:right w:val="single" w:sz="4" w:space="0" w:color="auto"/>
            </w:tcBorders>
            <w:vAlign w:val="center"/>
          </w:tcPr>
          <w:p w14:paraId="1D7B3B48"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r>
      <w:tr w:rsidR="009253C0" w:rsidRPr="00E46AB2" w14:paraId="1D5342DE" w14:textId="77777777" w:rsidTr="00446CC4">
        <w:trPr>
          <w:trHeight w:val="290"/>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AC2D" w14:textId="77777777" w:rsidR="00341542" w:rsidRPr="00E46AB2" w:rsidRDefault="0080259F" w:rsidP="007C0926">
            <w:pPr>
              <w:spacing w:after="0"/>
              <w:rPr>
                <w:rFonts w:eastAsia="Times New Roman" w:cs="Times New Roman"/>
                <w:b/>
                <w:color w:val="000000"/>
                <w:sz w:val="20"/>
                <w:szCs w:val="20"/>
              </w:rPr>
            </w:pPr>
            <w:r w:rsidRPr="00E46AB2">
              <w:rPr>
                <w:rFonts w:eastAsia="Times New Roman" w:cs="Times New Roman"/>
                <w:b/>
                <w:color w:val="000000"/>
                <w:sz w:val="20"/>
                <w:szCs w:val="20"/>
              </w:rPr>
              <w:t>Men</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3935FFF5" w14:textId="77777777" w:rsidR="00341542" w:rsidRPr="00E46AB2" w:rsidRDefault="00341542" w:rsidP="007C0926">
            <w:pPr>
              <w:spacing w:after="0"/>
              <w:rPr>
                <w:rFonts w:eastAsia="Times New Roman" w:cs="Times New Roman"/>
                <w:color w:val="000000"/>
                <w:sz w:val="20"/>
                <w:szCs w:val="20"/>
              </w:rPr>
            </w:pPr>
            <w:r w:rsidRPr="00E46AB2">
              <w:rPr>
                <w:rFonts w:eastAsia="Times New Roman" w:cs="Times New Roman"/>
                <w:color w:val="000000"/>
                <w:sz w:val="20"/>
                <w:szCs w:val="20"/>
              </w:rPr>
              <w:t>Median</w:t>
            </w:r>
          </w:p>
        </w:tc>
        <w:tc>
          <w:tcPr>
            <w:tcW w:w="781" w:type="dxa"/>
            <w:tcBorders>
              <w:top w:val="single" w:sz="4" w:space="0" w:color="auto"/>
              <w:left w:val="nil"/>
              <w:bottom w:val="single" w:sz="4" w:space="0" w:color="auto"/>
              <w:right w:val="single" w:sz="4" w:space="0" w:color="auto"/>
            </w:tcBorders>
            <w:vAlign w:val="center"/>
          </w:tcPr>
          <w:p w14:paraId="67A92A06"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2815"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D1489CB"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37F6F442"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180554B5"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1F8F573B"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5912441B"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2CCB9933"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933" w:type="dxa"/>
            <w:tcBorders>
              <w:top w:val="single" w:sz="4" w:space="0" w:color="auto"/>
              <w:left w:val="nil"/>
              <w:bottom w:val="single" w:sz="4" w:space="0" w:color="auto"/>
              <w:right w:val="single" w:sz="4" w:space="0" w:color="auto"/>
            </w:tcBorders>
            <w:vAlign w:val="center"/>
          </w:tcPr>
          <w:p w14:paraId="19C107C1"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r>
    </w:tbl>
    <w:p w14:paraId="1E390AA1" w14:textId="77777777" w:rsidR="00C9125A" w:rsidRDefault="00C9125A" w:rsidP="00941B4B">
      <w:pPr>
        <w:rPr>
          <w:i/>
          <w:iCs/>
          <w:lang w:eastAsia="en-US"/>
        </w:rPr>
      </w:pPr>
    </w:p>
    <w:p w14:paraId="0D597D03" w14:textId="77777777" w:rsidR="00C9125A" w:rsidRPr="00A21ED4" w:rsidRDefault="00C9125A" w:rsidP="00C9125A">
      <w:pPr>
        <w:pStyle w:val="Caption"/>
        <w:rPr>
          <w:rFonts w:cstheme="minorHAnsi"/>
          <w:b w:val="0"/>
          <w:sz w:val="22"/>
          <w:szCs w:val="22"/>
          <w:lang w:val="en-US"/>
        </w:rPr>
      </w:pPr>
      <w:r w:rsidRPr="00A21ED4">
        <w:rPr>
          <w:sz w:val="22"/>
          <w:szCs w:val="22"/>
        </w:rPr>
        <w:t xml:space="preserve">Table </w:t>
      </w:r>
      <w:r w:rsidRPr="00A21ED4">
        <w:rPr>
          <w:noProof/>
          <w:sz w:val="22"/>
          <w:szCs w:val="22"/>
        </w:rPr>
        <w:t>2</w:t>
      </w:r>
      <w:r w:rsidRPr="00A21ED4">
        <w:rPr>
          <w:sz w:val="22"/>
          <w:szCs w:val="22"/>
        </w:rPr>
        <w:t>a.</w:t>
      </w:r>
      <w:r w:rsidRPr="00A21ED4">
        <w:rPr>
          <w:rFonts w:cstheme="minorHAnsi"/>
          <w:b w:val="0"/>
          <w:sz w:val="22"/>
          <w:szCs w:val="22"/>
          <w:lang w:val="en-US"/>
        </w:rPr>
        <w:t xml:space="preserve"> Index of socio-economic disadvantage at initiation to smoking cessation therapy by year</w:t>
      </w:r>
    </w:p>
    <w:tbl>
      <w:tblPr>
        <w:tblW w:w="8930" w:type="dxa"/>
        <w:tblInd w:w="137" w:type="dxa"/>
        <w:tblLook w:val="04A0" w:firstRow="1" w:lastRow="0" w:firstColumn="1" w:lastColumn="0" w:noHBand="0" w:noVBand="1"/>
      </w:tblPr>
      <w:tblGrid>
        <w:gridCol w:w="831"/>
        <w:gridCol w:w="1074"/>
        <w:gridCol w:w="788"/>
        <w:gridCol w:w="714"/>
        <w:gridCol w:w="771"/>
        <w:gridCol w:w="850"/>
        <w:gridCol w:w="714"/>
        <w:gridCol w:w="714"/>
        <w:gridCol w:w="850"/>
        <w:gridCol w:w="714"/>
        <w:gridCol w:w="931"/>
      </w:tblGrid>
      <w:tr w:rsidR="009253C0" w:rsidRPr="00A21ED4" w14:paraId="6E8F2950" w14:textId="77777777" w:rsidTr="00C9125A">
        <w:trPr>
          <w:trHeight w:val="300"/>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8A3F" w14:textId="77777777" w:rsidR="00C9125A" w:rsidRPr="00A21ED4" w:rsidRDefault="00C9125A" w:rsidP="00C9125A">
            <w:pPr>
              <w:spacing w:after="0"/>
              <w:rPr>
                <w:rFonts w:eastAsia="Times New Roman" w:cs="Times New Roman"/>
                <w:b/>
                <w:bCs/>
                <w:color w:val="000000"/>
                <w:sz w:val="20"/>
                <w:szCs w:val="20"/>
              </w:rPr>
            </w:pP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314D6888"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Index range*</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01AFF47D"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2011/</w:t>
            </w:r>
          </w:p>
          <w:p w14:paraId="56431309"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3E1FE1"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2012/</w:t>
            </w:r>
          </w:p>
          <w:p w14:paraId="7859E2E3"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2013</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14:paraId="2B620ABD"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2013/</w:t>
            </w:r>
          </w:p>
          <w:p w14:paraId="6B42BA44"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F0B916"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2014/</w:t>
            </w:r>
          </w:p>
          <w:p w14:paraId="22F980E6"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8D2AD6D"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2015/</w:t>
            </w:r>
          </w:p>
          <w:p w14:paraId="25541F71"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46FAA8"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2016/</w:t>
            </w:r>
          </w:p>
          <w:p w14:paraId="690AD93E"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3D1409"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2017/</w:t>
            </w:r>
          </w:p>
          <w:p w14:paraId="2236886B"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11C40F9"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2018/</w:t>
            </w:r>
          </w:p>
          <w:p w14:paraId="53F54A9A"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2019</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043BCDFD"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2019/</w:t>
            </w:r>
          </w:p>
          <w:p w14:paraId="055A26CD"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2020</w:t>
            </w:r>
          </w:p>
        </w:tc>
      </w:tr>
      <w:tr w:rsidR="00C9125A" w:rsidRPr="00A21ED4" w14:paraId="7EC38921" w14:textId="77777777" w:rsidTr="00C9125A">
        <w:trPr>
          <w:trHeight w:val="30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530CDAA"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Lowest</w:t>
            </w:r>
          </w:p>
        </w:tc>
        <w:tc>
          <w:tcPr>
            <w:tcW w:w="1074" w:type="dxa"/>
            <w:tcBorders>
              <w:top w:val="nil"/>
              <w:left w:val="nil"/>
              <w:bottom w:val="single" w:sz="4" w:space="0" w:color="auto"/>
              <w:right w:val="single" w:sz="4" w:space="0" w:color="auto"/>
            </w:tcBorders>
            <w:shd w:val="clear" w:color="auto" w:fill="auto"/>
            <w:noWrap/>
            <w:vAlign w:val="bottom"/>
            <w:hideMark/>
          </w:tcPr>
          <w:p w14:paraId="3C4E9FF1"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500-650</w:t>
            </w:r>
          </w:p>
        </w:tc>
        <w:tc>
          <w:tcPr>
            <w:tcW w:w="788" w:type="dxa"/>
            <w:tcBorders>
              <w:top w:val="nil"/>
              <w:left w:val="nil"/>
              <w:bottom w:val="single" w:sz="4" w:space="0" w:color="auto"/>
              <w:right w:val="single" w:sz="4" w:space="0" w:color="auto"/>
            </w:tcBorders>
            <w:shd w:val="clear" w:color="auto" w:fill="auto"/>
            <w:noWrap/>
            <w:vAlign w:val="bottom"/>
            <w:hideMark/>
          </w:tcPr>
          <w:p w14:paraId="2F5AA855"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43F89F2B"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771" w:type="dxa"/>
            <w:tcBorders>
              <w:top w:val="nil"/>
              <w:left w:val="nil"/>
              <w:bottom w:val="single" w:sz="4" w:space="0" w:color="auto"/>
              <w:right w:val="single" w:sz="4" w:space="0" w:color="auto"/>
            </w:tcBorders>
            <w:shd w:val="clear" w:color="auto" w:fill="auto"/>
            <w:noWrap/>
            <w:vAlign w:val="bottom"/>
            <w:hideMark/>
          </w:tcPr>
          <w:p w14:paraId="33FF09BE"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5A257EAF"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6B79F668"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40EEF721"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2A8B96DD"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noWrap/>
            <w:vAlign w:val="bottom"/>
            <w:hideMark/>
          </w:tcPr>
          <w:p w14:paraId="48276903"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0.2</w:t>
            </w:r>
            <w:r w:rsidR="00446CC4">
              <w:rPr>
                <w:rFonts w:eastAsia="Times New Roman" w:cs="Times New Roman"/>
                <w:color w:val="000000"/>
                <w:sz w:val="20"/>
                <w:szCs w:val="20"/>
              </w:rPr>
              <w:t>%</w:t>
            </w:r>
          </w:p>
        </w:tc>
        <w:tc>
          <w:tcPr>
            <w:tcW w:w="931" w:type="dxa"/>
            <w:tcBorders>
              <w:top w:val="nil"/>
              <w:left w:val="nil"/>
              <w:bottom w:val="single" w:sz="4" w:space="0" w:color="auto"/>
              <w:right w:val="single" w:sz="4" w:space="0" w:color="auto"/>
            </w:tcBorders>
            <w:shd w:val="clear" w:color="auto" w:fill="auto"/>
            <w:noWrap/>
            <w:vAlign w:val="bottom"/>
            <w:hideMark/>
          </w:tcPr>
          <w:p w14:paraId="2AF471EE"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0.2</w:t>
            </w:r>
            <w:r w:rsidR="00446CC4">
              <w:rPr>
                <w:rFonts w:eastAsia="Times New Roman" w:cs="Times New Roman"/>
                <w:color w:val="000000"/>
                <w:sz w:val="20"/>
                <w:szCs w:val="20"/>
              </w:rPr>
              <w:t>%</w:t>
            </w:r>
          </w:p>
        </w:tc>
      </w:tr>
      <w:tr w:rsidR="00C9125A" w:rsidRPr="00A21ED4" w14:paraId="47F6D45D" w14:textId="77777777" w:rsidTr="00C9125A">
        <w:trPr>
          <w:trHeight w:val="30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E70B6BE"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351F6553"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651-800</w:t>
            </w:r>
          </w:p>
        </w:tc>
        <w:tc>
          <w:tcPr>
            <w:tcW w:w="788" w:type="dxa"/>
            <w:tcBorders>
              <w:top w:val="nil"/>
              <w:left w:val="nil"/>
              <w:bottom w:val="single" w:sz="4" w:space="0" w:color="auto"/>
              <w:right w:val="single" w:sz="4" w:space="0" w:color="auto"/>
            </w:tcBorders>
            <w:shd w:val="clear" w:color="auto" w:fill="auto"/>
            <w:noWrap/>
            <w:vAlign w:val="bottom"/>
            <w:hideMark/>
          </w:tcPr>
          <w:p w14:paraId="107EF3E0"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1.5</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715EA03B"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1.5</w:t>
            </w:r>
            <w:r w:rsidR="00446CC4">
              <w:rPr>
                <w:rFonts w:eastAsia="Times New Roman" w:cs="Times New Roman"/>
                <w:color w:val="000000"/>
                <w:sz w:val="20"/>
                <w:szCs w:val="20"/>
              </w:rPr>
              <w:t>%</w:t>
            </w:r>
          </w:p>
        </w:tc>
        <w:tc>
          <w:tcPr>
            <w:tcW w:w="771" w:type="dxa"/>
            <w:tcBorders>
              <w:top w:val="nil"/>
              <w:left w:val="nil"/>
              <w:bottom w:val="single" w:sz="4" w:space="0" w:color="auto"/>
              <w:right w:val="single" w:sz="4" w:space="0" w:color="auto"/>
            </w:tcBorders>
            <w:shd w:val="clear" w:color="auto" w:fill="auto"/>
            <w:noWrap/>
            <w:vAlign w:val="bottom"/>
            <w:hideMark/>
          </w:tcPr>
          <w:p w14:paraId="5635D8B1"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1.5</w:t>
            </w:r>
            <w:r w:rsidR="00446CC4">
              <w:rPr>
                <w:rFonts w:eastAsia="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6AC6CF72"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1.6</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68113DC0"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1.7</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787AD9F8"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1.8</w:t>
            </w:r>
            <w:r w:rsidR="00446CC4">
              <w:rPr>
                <w:rFonts w:eastAsia="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1C08FC87"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1.6</w:t>
            </w:r>
            <w:r w:rsidR="00446CC4">
              <w:rPr>
                <w:rFonts w:eastAsia="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noWrap/>
            <w:vAlign w:val="bottom"/>
            <w:hideMark/>
          </w:tcPr>
          <w:p w14:paraId="1FCC7D38"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1.7</w:t>
            </w:r>
            <w:r w:rsidR="00446CC4">
              <w:rPr>
                <w:rFonts w:eastAsia="Times New Roman" w:cs="Times New Roman"/>
                <w:color w:val="000000"/>
                <w:sz w:val="20"/>
                <w:szCs w:val="20"/>
              </w:rPr>
              <w:t>%</w:t>
            </w:r>
          </w:p>
        </w:tc>
        <w:tc>
          <w:tcPr>
            <w:tcW w:w="931" w:type="dxa"/>
            <w:tcBorders>
              <w:top w:val="nil"/>
              <w:left w:val="nil"/>
              <w:bottom w:val="single" w:sz="4" w:space="0" w:color="auto"/>
              <w:right w:val="single" w:sz="4" w:space="0" w:color="auto"/>
            </w:tcBorders>
            <w:shd w:val="clear" w:color="auto" w:fill="auto"/>
            <w:noWrap/>
            <w:vAlign w:val="bottom"/>
            <w:hideMark/>
          </w:tcPr>
          <w:p w14:paraId="02EC8D56"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1.6</w:t>
            </w:r>
            <w:r w:rsidR="00446CC4">
              <w:rPr>
                <w:rFonts w:eastAsia="Times New Roman" w:cs="Times New Roman"/>
                <w:color w:val="000000"/>
                <w:sz w:val="20"/>
                <w:szCs w:val="20"/>
              </w:rPr>
              <w:t>%</w:t>
            </w:r>
          </w:p>
        </w:tc>
      </w:tr>
      <w:tr w:rsidR="00C9125A" w:rsidRPr="00A21ED4" w14:paraId="4C8FC32F" w14:textId="77777777" w:rsidTr="00C9125A">
        <w:trPr>
          <w:trHeight w:val="30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33DCF7F"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54E3891"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801-950</w:t>
            </w:r>
          </w:p>
        </w:tc>
        <w:tc>
          <w:tcPr>
            <w:tcW w:w="788" w:type="dxa"/>
            <w:tcBorders>
              <w:top w:val="nil"/>
              <w:left w:val="nil"/>
              <w:bottom w:val="single" w:sz="4" w:space="0" w:color="auto"/>
              <w:right w:val="single" w:sz="4" w:space="0" w:color="auto"/>
            </w:tcBorders>
            <w:shd w:val="clear" w:color="auto" w:fill="auto"/>
            <w:noWrap/>
            <w:vAlign w:val="bottom"/>
            <w:hideMark/>
          </w:tcPr>
          <w:p w14:paraId="34DCEF10"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24.6</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1ACC113B"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24.2</w:t>
            </w:r>
            <w:r w:rsidR="00446CC4">
              <w:rPr>
                <w:rFonts w:eastAsia="Times New Roman" w:cs="Times New Roman"/>
                <w:color w:val="000000"/>
                <w:sz w:val="20"/>
                <w:szCs w:val="20"/>
              </w:rPr>
              <w:t>%</w:t>
            </w:r>
          </w:p>
        </w:tc>
        <w:tc>
          <w:tcPr>
            <w:tcW w:w="771" w:type="dxa"/>
            <w:tcBorders>
              <w:top w:val="nil"/>
              <w:left w:val="nil"/>
              <w:bottom w:val="single" w:sz="4" w:space="0" w:color="auto"/>
              <w:right w:val="single" w:sz="4" w:space="0" w:color="auto"/>
            </w:tcBorders>
            <w:shd w:val="clear" w:color="auto" w:fill="auto"/>
            <w:noWrap/>
            <w:vAlign w:val="bottom"/>
            <w:hideMark/>
          </w:tcPr>
          <w:p w14:paraId="21BDC4CD"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24.9</w:t>
            </w:r>
            <w:r w:rsidR="00446CC4">
              <w:rPr>
                <w:rFonts w:eastAsia="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0833A113"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25.6</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3FB71D02"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26.2</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6EE0BE06"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25.6</w:t>
            </w:r>
            <w:r w:rsidR="00446CC4">
              <w:rPr>
                <w:rFonts w:eastAsia="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3EE6E663"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25.9</w:t>
            </w:r>
            <w:r w:rsidR="00446CC4">
              <w:rPr>
                <w:rFonts w:eastAsia="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noWrap/>
            <w:vAlign w:val="bottom"/>
            <w:hideMark/>
          </w:tcPr>
          <w:p w14:paraId="3B2147B2"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25.8</w:t>
            </w:r>
            <w:r w:rsidR="00446CC4">
              <w:rPr>
                <w:rFonts w:eastAsia="Times New Roman" w:cs="Times New Roman"/>
                <w:color w:val="000000"/>
                <w:sz w:val="20"/>
                <w:szCs w:val="20"/>
              </w:rPr>
              <w:t>%</w:t>
            </w:r>
          </w:p>
        </w:tc>
        <w:tc>
          <w:tcPr>
            <w:tcW w:w="931" w:type="dxa"/>
            <w:tcBorders>
              <w:top w:val="nil"/>
              <w:left w:val="nil"/>
              <w:bottom w:val="single" w:sz="4" w:space="0" w:color="auto"/>
              <w:right w:val="single" w:sz="4" w:space="0" w:color="auto"/>
            </w:tcBorders>
            <w:shd w:val="clear" w:color="auto" w:fill="auto"/>
            <w:noWrap/>
            <w:vAlign w:val="bottom"/>
            <w:hideMark/>
          </w:tcPr>
          <w:p w14:paraId="06C84871"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25.6</w:t>
            </w:r>
            <w:r w:rsidR="00446CC4">
              <w:rPr>
                <w:rFonts w:eastAsia="Times New Roman" w:cs="Times New Roman"/>
                <w:color w:val="000000"/>
                <w:sz w:val="20"/>
                <w:szCs w:val="20"/>
              </w:rPr>
              <w:t>%</w:t>
            </w:r>
          </w:p>
        </w:tc>
      </w:tr>
      <w:tr w:rsidR="00C9125A" w:rsidRPr="00A21ED4" w14:paraId="2C89C0F4" w14:textId="77777777" w:rsidTr="00C9125A">
        <w:trPr>
          <w:trHeight w:val="30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23FBB64"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Highest</w:t>
            </w:r>
          </w:p>
        </w:tc>
        <w:tc>
          <w:tcPr>
            <w:tcW w:w="1074" w:type="dxa"/>
            <w:tcBorders>
              <w:top w:val="nil"/>
              <w:left w:val="nil"/>
              <w:bottom w:val="single" w:sz="4" w:space="0" w:color="auto"/>
              <w:right w:val="single" w:sz="4" w:space="0" w:color="auto"/>
            </w:tcBorders>
            <w:shd w:val="clear" w:color="auto" w:fill="auto"/>
            <w:noWrap/>
            <w:vAlign w:val="bottom"/>
            <w:hideMark/>
          </w:tcPr>
          <w:p w14:paraId="2204B296"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951-1174</w:t>
            </w:r>
          </w:p>
        </w:tc>
        <w:tc>
          <w:tcPr>
            <w:tcW w:w="788" w:type="dxa"/>
            <w:tcBorders>
              <w:top w:val="nil"/>
              <w:left w:val="nil"/>
              <w:bottom w:val="single" w:sz="4" w:space="0" w:color="auto"/>
              <w:right w:val="single" w:sz="4" w:space="0" w:color="auto"/>
            </w:tcBorders>
            <w:shd w:val="clear" w:color="auto" w:fill="auto"/>
            <w:noWrap/>
            <w:vAlign w:val="bottom"/>
            <w:hideMark/>
          </w:tcPr>
          <w:p w14:paraId="2943F45E"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73.9</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2F0285C1"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74.2</w:t>
            </w:r>
            <w:r w:rsidR="00446CC4">
              <w:rPr>
                <w:rFonts w:eastAsia="Times New Roman" w:cs="Times New Roman"/>
                <w:color w:val="000000"/>
                <w:sz w:val="20"/>
                <w:szCs w:val="20"/>
              </w:rPr>
              <w:t>%</w:t>
            </w:r>
          </w:p>
        </w:tc>
        <w:tc>
          <w:tcPr>
            <w:tcW w:w="771" w:type="dxa"/>
            <w:tcBorders>
              <w:top w:val="nil"/>
              <w:left w:val="nil"/>
              <w:bottom w:val="single" w:sz="4" w:space="0" w:color="auto"/>
              <w:right w:val="single" w:sz="4" w:space="0" w:color="auto"/>
            </w:tcBorders>
            <w:shd w:val="clear" w:color="auto" w:fill="auto"/>
            <w:noWrap/>
            <w:vAlign w:val="bottom"/>
            <w:hideMark/>
          </w:tcPr>
          <w:p w14:paraId="0ED1FB28"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73.6</w:t>
            </w:r>
            <w:r w:rsidR="00446CC4">
              <w:rPr>
                <w:rFonts w:eastAsia="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289CF04B"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72.7</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27BB4105"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72.1</w:t>
            </w:r>
            <w:r w:rsidR="00446CC4">
              <w:rPr>
                <w:rFonts w:eastAsia="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14:paraId="55BA1323"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72.5</w:t>
            </w:r>
            <w:r w:rsidR="00446CC4">
              <w:rPr>
                <w:rFonts w:eastAsia="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5E7D1A01"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72.3</w:t>
            </w:r>
            <w:r w:rsidR="00446CC4">
              <w:rPr>
                <w:rFonts w:eastAsia="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noWrap/>
            <w:vAlign w:val="bottom"/>
            <w:hideMark/>
          </w:tcPr>
          <w:p w14:paraId="005B6E9C"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72.3</w:t>
            </w:r>
            <w:r w:rsidR="00446CC4">
              <w:rPr>
                <w:rFonts w:eastAsia="Times New Roman" w:cs="Times New Roman"/>
                <w:color w:val="000000"/>
                <w:sz w:val="20"/>
                <w:szCs w:val="20"/>
              </w:rPr>
              <w:t>%</w:t>
            </w:r>
          </w:p>
        </w:tc>
        <w:tc>
          <w:tcPr>
            <w:tcW w:w="931" w:type="dxa"/>
            <w:tcBorders>
              <w:top w:val="nil"/>
              <w:left w:val="nil"/>
              <w:bottom w:val="single" w:sz="4" w:space="0" w:color="auto"/>
              <w:right w:val="single" w:sz="4" w:space="0" w:color="auto"/>
            </w:tcBorders>
            <w:shd w:val="clear" w:color="auto" w:fill="auto"/>
            <w:noWrap/>
            <w:vAlign w:val="bottom"/>
            <w:hideMark/>
          </w:tcPr>
          <w:p w14:paraId="4EAF0CC5"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72.5</w:t>
            </w:r>
            <w:r w:rsidR="00446CC4">
              <w:rPr>
                <w:rFonts w:eastAsia="Times New Roman" w:cs="Times New Roman"/>
                <w:color w:val="000000"/>
                <w:sz w:val="20"/>
                <w:szCs w:val="20"/>
              </w:rPr>
              <w:t>%</w:t>
            </w:r>
          </w:p>
        </w:tc>
      </w:tr>
    </w:tbl>
    <w:p w14:paraId="3BBC1B45" w14:textId="00371FDD" w:rsidR="00C9125A" w:rsidRDefault="00C9125A" w:rsidP="00C9125A">
      <w:pPr>
        <w:rPr>
          <w:i/>
          <w:iCs/>
          <w:lang w:eastAsia="en-US"/>
        </w:rPr>
      </w:pPr>
      <w:r w:rsidRPr="00A21ED4">
        <w:rPr>
          <w:i/>
          <w:iCs/>
          <w:lang w:eastAsia="en-US"/>
        </w:rPr>
        <w:t>Note: *The Index of socio-economic disadvantage is based on person’s postcode and the</w:t>
      </w:r>
      <w:r w:rsidRPr="0080259F">
        <w:rPr>
          <w:i/>
          <w:iCs/>
          <w:lang w:eastAsia="en-US"/>
        </w:rPr>
        <w:t xml:space="preserve"> Australia Bureau of Statistics index of socio-economic disadvantage</w:t>
      </w:r>
      <w:r>
        <w:rPr>
          <w:i/>
          <w:iCs/>
          <w:lang w:eastAsia="en-US"/>
        </w:rPr>
        <w:t>;</w:t>
      </w:r>
      <w:r>
        <w:rPr>
          <w:i/>
          <w:iCs/>
          <w:lang w:val="bg-BG" w:eastAsia="en-US"/>
        </w:rPr>
        <w:t xml:space="preserve"> </w:t>
      </w:r>
      <w:r w:rsidR="00760AE9">
        <w:rPr>
          <w:i/>
          <w:iCs/>
          <w:lang w:eastAsia="en-US"/>
        </w:rPr>
        <w:t>t</w:t>
      </w:r>
      <w:r>
        <w:rPr>
          <w:i/>
          <w:iCs/>
          <w:lang w:eastAsia="en-US"/>
        </w:rPr>
        <w:t>he index ranges from 500 (lowest) to 1174 (highest)</w:t>
      </w:r>
    </w:p>
    <w:p w14:paraId="3A6EFC9C" w14:textId="1E833A0F" w:rsidR="00141886" w:rsidRPr="00847FD3" w:rsidRDefault="00486248" w:rsidP="00847FD3">
      <w:pPr>
        <w:pStyle w:val="Heading3"/>
        <w:rPr>
          <w:rFonts w:asciiTheme="minorHAnsi" w:hAnsiTheme="minorHAnsi" w:cstheme="minorHAnsi"/>
          <w:b/>
          <w:i/>
          <w:iCs/>
          <w:sz w:val="28"/>
          <w:szCs w:val="28"/>
        </w:rPr>
      </w:pPr>
      <w:bookmarkStart w:id="45" w:name="_Toc72840898"/>
      <w:r>
        <w:rPr>
          <w:rFonts w:asciiTheme="minorHAnsi" w:hAnsiTheme="minorHAnsi" w:cstheme="minorHAnsi"/>
          <w:b/>
          <w:i/>
          <w:sz w:val="28"/>
          <w:szCs w:val="28"/>
        </w:rPr>
        <w:t>2.4</w:t>
      </w:r>
      <w:r w:rsidR="008819BE" w:rsidRPr="00847FD3">
        <w:rPr>
          <w:rFonts w:asciiTheme="minorHAnsi" w:hAnsiTheme="minorHAnsi" w:cstheme="minorHAnsi"/>
          <w:b/>
          <w:i/>
          <w:sz w:val="28"/>
          <w:szCs w:val="28"/>
        </w:rPr>
        <w:t xml:space="preserve">.3 </w:t>
      </w:r>
      <w:r w:rsidR="00141886" w:rsidRPr="00847FD3">
        <w:rPr>
          <w:rFonts w:asciiTheme="minorHAnsi" w:hAnsiTheme="minorHAnsi" w:cstheme="minorHAnsi"/>
          <w:b/>
          <w:i/>
          <w:sz w:val="28"/>
          <w:szCs w:val="28"/>
        </w:rPr>
        <w:t>Treatment rates at national and state level based on PBS data</w:t>
      </w:r>
      <w:bookmarkEnd w:id="45"/>
      <w:r w:rsidR="00141886" w:rsidRPr="00847FD3">
        <w:rPr>
          <w:rFonts w:asciiTheme="minorHAnsi" w:hAnsiTheme="minorHAnsi" w:cstheme="minorHAnsi"/>
          <w:b/>
          <w:i/>
          <w:sz w:val="28"/>
          <w:szCs w:val="28"/>
        </w:rPr>
        <w:t xml:space="preserve"> </w:t>
      </w:r>
    </w:p>
    <w:p w14:paraId="4EDDBEA5" w14:textId="77777777" w:rsidR="003B5153" w:rsidRPr="003B5153" w:rsidRDefault="0034416C" w:rsidP="003B5153">
      <w:pPr>
        <w:widowControl w:val="0"/>
        <w:rPr>
          <w:rFonts w:cstheme="minorHAnsi"/>
          <w:lang w:val="en-US"/>
        </w:rPr>
      </w:pPr>
      <w:r>
        <w:rPr>
          <w:rFonts w:cstheme="minorHAnsi"/>
          <w:lang w:val="en-US"/>
        </w:rPr>
        <w:t>Figure 1</w:t>
      </w:r>
      <w:r w:rsidR="008316A4">
        <w:rPr>
          <w:rFonts w:cstheme="minorHAnsi"/>
          <w:lang w:val="en-US"/>
        </w:rPr>
        <w:t>6</w:t>
      </w:r>
      <w:r>
        <w:rPr>
          <w:rFonts w:cstheme="minorHAnsi"/>
          <w:lang w:val="en-US"/>
        </w:rPr>
        <w:t xml:space="preserve"> presents the treatment rates at </w:t>
      </w:r>
      <w:r w:rsidR="00EA1F7B">
        <w:rPr>
          <w:rFonts w:cstheme="minorHAnsi"/>
          <w:lang w:val="en-US"/>
        </w:rPr>
        <w:t xml:space="preserve">the </w:t>
      </w:r>
      <w:r>
        <w:rPr>
          <w:rFonts w:cstheme="minorHAnsi"/>
          <w:lang w:val="en-US"/>
        </w:rPr>
        <w:t xml:space="preserve">national level reported per 1,000 </w:t>
      </w:r>
      <w:r w:rsidR="00EA1F7B">
        <w:rPr>
          <w:rFonts w:cstheme="minorHAnsi"/>
          <w:lang w:val="en-US"/>
        </w:rPr>
        <w:t xml:space="preserve">of the </w:t>
      </w:r>
      <w:r>
        <w:rPr>
          <w:rFonts w:cstheme="minorHAnsi"/>
          <w:lang w:val="en-US"/>
        </w:rPr>
        <w:t xml:space="preserve">Australian population. Only the age-adjusted rates are shown as the crude rates were identical. </w:t>
      </w:r>
      <w:r w:rsidR="003B5153" w:rsidRPr="003B5153">
        <w:rPr>
          <w:rFonts w:cstheme="minorHAnsi"/>
          <w:lang w:val="en-US"/>
        </w:rPr>
        <w:t xml:space="preserve">The age-adjusted rates are based on the Australian age distribution of the ABS estimated residential population at 30 Jun 2011. </w:t>
      </w:r>
    </w:p>
    <w:p w14:paraId="2BE78ED8" w14:textId="6D348515" w:rsidR="00EB0343" w:rsidRDefault="0034416C" w:rsidP="00EB0343">
      <w:pPr>
        <w:widowControl w:val="0"/>
        <w:rPr>
          <w:rFonts w:cstheme="minorHAnsi"/>
          <w:lang w:val="en-US"/>
        </w:rPr>
      </w:pPr>
      <w:r>
        <w:rPr>
          <w:rFonts w:cstheme="minorHAnsi"/>
          <w:lang w:val="en-US"/>
        </w:rPr>
        <w:t xml:space="preserve">There were </w:t>
      </w:r>
      <w:r w:rsidR="0031724A">
        <w:rPr>
          <w:rFonts w:cstheme="minorHAnsi"/>
          <w:lang w:val="en-US"/>
        </w:rPr>
        <w:t>2</w:t>
      </w:r>
      <w:r w:rsidR="008F1CC7">
        <w:rPr>
          <w:rFonts w:cstheme="minorHAnsi"/>
          <w:lang w:val="en-US"/>
        </w:rPr>
        <w:t>1</w:t>
      </w:r>
      <w:r w:rsidR="0031724A">
        <w:rPr>
          <w:rFonts w:cstheme="minorHAnsi"/>
          <w:lang w:val="en-US"/>
        </w:rPr>
        <w:t xml:space="preserve"> people per 1,000 population (2.</w:t>
      </w:r>
      <w:r w:rsidR="00923099">
        <w:rPr>
          <w:rFonts w:cstheme="minorHAnsi"/>
          <w:lang w:val="en-US"/>
        </w:rPr>
        <w:t>1</w:t>
      </w:r>
      <w:r w:rsidR="0031724A">
        <w:rPr>
          <w:rFonts w:cstheme="minorHAnsi"/>
          <w:lang w:val="en-US"/>
        </w:rPr>
        <w:t xml:space="preserve">%) on smoking cessation treatment in 2010/2011 declining to </w:t>
      </w:r>
      <w:r>
        <w:rPr>
          <w:rFonts w:cstheme="minorHAnsi"/>
          <w:lang w:val="en-US"/>
        </w:rPr>
        <w:t>12 p</w:t>
      </w:r>
      <w:r w:rsidR="00923099">
        <w:rPr>
          <w:rFonts w:cstheme="minorHAnsi"/>
          <w:lang w:val="en-US"/>
        </w:rPr>
        <w:t>eople per 1,000 population (1.2</w:t>
      </w:r>
      <w:r>
        <w:rPr>
          <w:rFonts w:cstheme="minorHAnsi"/>
          <w:lang w:val="en-US"/>
        </w:rPr>
        <w:t xml:space="preserve">%) in 2019/2020 </w:t>
      </w:r>
      <w:r w:rsidR="00956577">
        <w:rPr>
          <w:rFonts w:cstheme="minorHAnsi"/>
          <w:lang w:val="en-US"/>
        </w:rPr>
        <w:t>(Figure 1</w:t>
      </w:r>
      <w:r w:rsidR="008316A4">
        <w:rPr>
          <w:rFonts w:cstheme="minorHAnsi"/>
          <w:lang w:val="en-US"/>
        </w:rPr>
        <w:t>6</w:t>
      </w:r>
      <w:r w:rsidR="00956577">
        <w:rPr>
          <w:rFonts w:cstheme="minorHAnsi"/>
          <w:lang w:val="en-US"/>
        </w:rPr>
        <w:t>)</w:t>
      </w:r>
      <w:r>
        <w:rPr>
          <w:rFonts w:cstheme="minorHAnsi"/>
          <w:lang w:val="en-US"/>
        </w:rPr>
        <w:t xml:space="preserve">. </w:t>
      </w:r>
      <w:r w:rsidR="00EB0343">
        <w:rPr>
          <w:rFonts w:cstheme="minorHAnsi"/>
          <w:lang w:val="en-US"/>
        </w:rPr>
        <w:t xml:space="preserve">Three people per 1,000 </w:t>
      </w:r>
      <w:r w:rsidR="00D57BB3">
        <w:rPr>
          <w:rFonts w:cstheme="minorHAnsi"/>
          <w:lang w:val="en-US"/>
        </w:rPr>
        <w:t xml:space="preserve">(0.3%) </w:t>
      </w:r>
      <w:r w:rsidR="00EB0343">
        <w:rPr>
          <w:rFonts w:cstheme="minorHAnsi"/>
          <w:lang w:val="en-US"/>
        </w:rPr>
        <w:t>initiated smoking cessation medicines for the first time in 2019/2020</w:t>
      </w:r>
      <w:r w:rsidR="008316A4">
        <w:rPr>
          <w:rFonts w:cstheme="minorHAnsi"/>
          <w:lang w:val="en-US"/>
        </w:rPr>
        <w:t xml:space="preserve">, and 8 people per 1,000 </w:t>
      </w:r>
      <w:r w:rsidR="00923099">
        <w:rPr>
          <w:rFonts w:cstheme="minorHAnsi"/>
          <w:lang w:val="en-US"/>
        </w:rPr>
        <w:t xml:space="preserve">(0.8%) </w:t>
      </w:r>
      <w:r w:rsidR="008316A4">
        <w:rPr>
          <w:rFonts w:cstheme="minorHAnsi"/>
          <w:lang w:val="en-US"/>
        </w:rPr>
        <w:t xml:space="preserve">initiated after one year of no use </w:t>
      </w:r>
      <w:r w:rsidR="00956577">
        <w:rPr>
          <w:rFonts w:cstheme="minorHAnsi"/>
          <w:lang w:val="en-US"/>
        </w:rPr>
        <w:t>(Figure 1</w:t>
      </w:r>
      <w:r w:rsidR="008316A4">
        <w:rPr>
          <w:rFonts w:cstheme="minorHAnsi"/>
          <w:lang w:val="en-US"/>
        </w:rPr>
        <w:t>6</w:t>
      </w:r>
      <w:r w:rsidR="00956577">
        <w:rPr>
          <w:rFonts w:cstheme="minorHAnsi"/>
          <w:lang w:val="en-US"/>
        </w:rPr>
        <w:t>)</w:t>
      </w:r>
      <w:r w:rsidR="00EB0343">
        <w:rPr>
          <w:rFonts w:cstheme="minorHAnsi"/>
          <w:lang w:val="en-US"/>
        </w:rPr>
        <w:t xml:space="preserve">. </w:t>
      </w:r>
    </w:p>
    <w:p w14:paraId="6D5FB235" w14:textId="77777777" w:rsidR="007A2EA3" w:rsidRDefault="008F1CC7" w:rsidP="007A2EA3">
      <w:pPr>
        <w:rPr>
          <w:lang w:eastAsia="en-US"/>
        </w:rPr>
      </w:pPr>
      <w:r>
        <w:rPr>
          <w:noProof/>
        </w:rPr>
        <w:drawing>
          <wp:inline distT="0" distB="0" distL="0" distR="0" wp14:anchorId="0FD2C071" wp14:editId="232D6AD8">
            <wp:extent cx="5419725" cy="2581275"/>
            <wp:effectExtent l="0" t="0" r="9525" b="9525"/>
            <wp:docPr id="49" name="Chart 49">
              <a:extLst xmlns:a="http://schemas.openxmlformats.org/drawingml/2006/main">
                <a:ext uri="{FF2B5EF4-FFF2-40B4-BE49-F238E27FC236}">
                  <a16:creationId xmlns:a16="http://schemas.microsoft.com/office/drawing/2014/main" id="{07A379D9-24D1-428C-8611-9837E35064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448EDF" w14:textId="77777777" w:rsidR="0037512A" w:rsidRDefault="0034416C" w:rsidP="00E46AB2">
      <w:pPr>
        <w:pStyle w:val="Caption"/>
        <w:rPr>
          <w:rFonts w:cstheme="minorHAnsi"/>
          <w:b w:val="0"/>
          <w:sz w:val="22"/>
          <w:szCs w:val="22"/>
          <w:lang w:val="en-US"/>
        </w:rPr>
      </w:pPr>
      <w:r w:rsidRPr="00263DE7">
        <w:rPr>
          <w:sz w:val="22"/>
          <w:szCs w:val="22"/>
        </w:rPr>
        <w:t xml:space="preserve">Figure </w:t>
      </w:r>
      <w:r>
        <w:rPr>
          <w:sz w:val="22"/>
          <w:szCs w:val="22"/>
        </w:rPr>
        <w:t>1</w:t>
      </w:r>
      <w:r w:rsidR="008316A4">
        <w:rPr>
          <w:sz w:val="22"/>
          <w:szCs w:val="22"/>
        </w:rPr>
        <w:t>6</w:t>
      </w:r>
      <w:r w:rsidRPr="00263DE7">
        <w:rPr>
          <w:sz w:val="22"/>
          <w:szCs w:val="22"/>
        </w:rPr>
        <w:t xml:space="preserve">. </w:t>
      </w:r>
      <w:r w:rsidRPr="0034416C">
        <w:rPr>
          <w:b w:val="0"/>
          <w:bCs w:val="0"/>
          <w:sz w:val="22"/>
          <w:szCs w:val="22"/>
        </w:rPr>
        <w:t>A</w:t>
      </w:r>
      <w:r w:rsidRPr="00263DE7">
        <w:rPr>
          <w:rFonts w:cstheme="minorHAnsi"/>
          <w:b w:val="0"/>
          <w:sz w:val="22"/>
          <w:szCs w:val="22"/>
          <w:lang w:val="en-US"/>
        </w:rPr>
        <w:t>ge-adjusted treatment rates per 1,000 population</w:t>
      </w:r>
      <w:r w:rsidR="0031724A">
        <w:rPr>
          <w:rFonts w:cstheme="minorHAnsi"/>
          <w:b w:val="0"/>
          <w:sz w:val="22"/>
          <w:szCs w:val="22"/>
          <w:lang w:val="en-US"/>
        </w:rPr>
        <w:t>, national level</w:t>
      </w:r>
    </w:p>
    <w:p w14:paraId="6029BEFA" w14:textId="77777777" w:rsidR="00AA2FA7" w:rsidRDefault="00AA2FA7" w:rsidP="00AA2FA7">
      <w:pPr>
        <w:widowControl w:val="0"/>
        <w:rPr>
          <w:rFonts w:cstheme="minorHAnsi"/>
          <w:lang w:val="en-US"/>
        </w:rPr>
      </w:pPr>
      <w:r>
        <w:rPr>
          <w:rFonts w:cstheme="minorHAnsi"/>
          <w:lang w:val="en-US"/>
        </w:rPr>
        <w:t xml:space="preserve">Figure 17 - 19 present the treatment rates at state level reported per 1,000 Australian population. </w:t>
      </w:r>
    </w:p>
    <w:p w14:paraId="3C905EFA" w14:textId="4D01C5B1" w:rsidR="00AA2FA7" w:rsidRDefault="00AA2FA7" w:rsidP="00AA2FA7">
      <w:pPr>
        <w:widowControl w:val="0"/>
        <w:rPr>
          <w:rFonts w:cstheme="minorHAnsi"/>
          <w:lang w:val="en-US"/>
        </w:rPr>
      </w:pPr>
      <w:r>
        <w:rPr>
          <w:rFonts w:cstheme="minorHAnsi"/>
          <w:lang w:val="en-US"/>
        </w:rPr>
        <w:t>There were 24 p</w:t>
      </w:r>
      <w:r w:rsidR="00923099">
        <w:rPr>
          <w:rFonts w:cstheme="minorHAnsi"/>
          <w:lang w:val="en-US"/>
        </w:rPr>
        <w:t>eople per 1,000 population (2.4</w:t>
      </w:r>
      <w:r>
        <w:rPr>
          <w:rFonts w:cstheme="minorHAnsi"/>
          <w:lang w:val="en-US"/>
        </w:rPr>
        <w:t xml:space="preserve">%) on smoking cessation treatment in 2019/2020 in Tasmania, followed by 17 people per 1,000 population in QLD (Figure 17). The lowest number was in Victoria and ACT (11 people per 1,000). </w:t>
      </w:r>
    </w:p>
    <w:p w14:paraId="099874B7" w14:textId="77777777" w:rsidR="00AA2FA7" w:rsidRDefault="00AA2FA7" w:rsidP="00AA2FA7">
      <w:pPr>
        <w:widowControl w:val="0"/>
        <w:rPr>
          <w:rFonts w:cstheme="minorHAnsi"/>
          <w:lang w:val="en-US"/>
        </w:rPr>
      </w:pPr>
      <w:r>
        <w:rPr>
          <w:rFonts w:cstheme="minorHAnsi"/>
          <w:lang w:val="en-US"/>
        </w:rPr>
        <w:t>First ever initiation of smoking cessation therapy was slightly higher in Tasmania with 5 people per 1,000 population initiating treatment in 2019/2020 compared to 2 to 3 people per 1,000 in other states (Figure 18).</w:t>
      </w:r>
    </w:p>
    <w:p w14:paraId="38C2466E" w14:textId="77777777" w:rsidR="002E588D" w:rsidRDefault="002E588D" w:rsidP="002E588D">
      <w:pPr>
        <w:widowControl w:val="0"/>
        <w:rPr>
          <w:rFonts w:cstheme="minorHAnsi"/>
          <w:lang w:val="en-US"/>
        </w:rPr>
      </w:pPr>
      <w:r>
        <w:rPr>
          <w:rFonts w:cstheme="minorHAnsi"/>
          <w:lang w:val="en-US"/>
        </w:rPr>
        <w:t>Initiation after one year of no use was highest in Tasmania with 13 people per 1,000 population in 2019/2020 compared to 6 to 10 people per 1,000 in other states (Figure 19).</w:t>
      </w:r>
    </w:p>
    <w:p w14:paraId="1014BB69" w14:textId="77777777" w:rsidR="00CF0E5E" w:rsidRDefault="00956577" w:rsidP="007A2EA3">
      <w:pPr>
        <w:rPr>
          <w:lang w:eastAsia="en-US"/>
        </w:rPr>
      </w:pPr>
      <w:r>
        <w:rPr>
          <w:noProof/>
        </w:rPr>
        <w:drawing>
          <wp:inline distT="0" distB="0" distL="0" distR="0" wp14:anchorId="2068B85D" wp14:editId="6C757DBB">
            <wp:extent cx="5274310" cy="2943225"/>
            <wp:effectExtent l="0" t="0" r="2540" b="9525"/>
            <wp:docPr id="33" name="Chart 33">
              <a:extLst xmlns:a="http://schemas.openxmlformats.org/drawingml/2006/main">
                <a:ext uri="{FF2B5EF4-FFF2-40B4-BE49-F238E27FC236}">
                  <a16:creationId xmlns:a16="http://schemas.microsoft.com/office/drawing/2014/main" id="{6EBDDB4D-1A1C-43AD-89DD-BEFF277A4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6666FA2" w14:textId="77777777" w:rsidR="00956577" w:rsidRPr="00263DE7" w:rsidRDefault="00956577" w:rsidP="00956577">
      <w:pPr>
        <w:pStyle w:val="Caption"/>
        <w:rPr>
          <w:rFonts w:cstheme="minorHAnsi"/>
          <w:sz w:val="22"/>
          <w:szCs w:val="22"/>
          <w:lang w:val="en-US"/>
        </w:rPr>
      </w:pPr>
      <w:r w:rsidRPr="00D02506">
        <w:t xml:space="preserve">Figure </w:t>
      </w:r>
      <w:r>
        <w:t>1</w:t>
      </w:r>
      <w:r w:rsidR="008316A4">
        <w:t>7</w:t>
      </w:r>
      <w:r w:rsidRPr="00D02506">
        <w:t>.</w:t>
      </w:r>
      <w:r>
        <w:t xml:space="preserve"> </w:t>
      </w:r>
      <w:r>
        <w:rPr>
          <w:rFonts w:cstheme="minorHAnsi"/>
          <w:b w:val="0"/>
          <w:sz w:val="22"/>
          <w:szCs w:val="22"/>
          <w:lang w:val="en-US"/>
        </w:rPr>
        <w:t>Age</w:t>
      </w:r>
      <w:r w:rsidRPr="00263DE7">
        <w:rPr>
          <w:rFonts w:cstheme="minorHAnsi"/>
          <w:b w:val="0"/>
          <w:sz w:val="22"/>
          <w:szCs w:val="22"/>
          <w:lang w:val="en-US"/>
        </w:rPr>
        <w:t xml:space="preserve">-adjusted </w:t>
      </w:r>
      <w:r>
        <w:rPr>
          <w:rFonts w:cstheme="minorHAnsi"/>
          <w:b w:val="0"/>
          <w:sz w:val="22"/>
          <w:szCs w:val="22"/>
          <w:lang w:val="en-US"/>
        </w:rPr>
        <w:t xml:space="preserve">prevalent </w:t>
      </w:r>
      <w:r w:rsidRPr="00263DE7">
        <w:rPr>
          <w:rFonts w:cstheme="minorHAnsi"/>
          <w:b w:val="0"/>
          <w:sz w:val="22"/>
          <w:szCs w:val="22"/>
          <w:lang w:val="en-US"/>
        </w:rPr>
        <w:t>rates per 1,000 population</w:t>
      </w:r>
      <w:r>
        <w:rPr>
          <w:rFonts w:cstheme="minorHAnsi"/>
          <w:b w:val="0"/>
          <w:sz w:val="22"/>
          <w:szCs w:val="22"/>
          <w:lang w:val="en-US"/>
        </w:rPr>
        <w:t xml:space="preserve"> – by state</w:t>
      </w:r>
    </w:p>
    <w:p w14:paraId="22D54E14" w14:textId="77777777" w:rsidR="00956577" w:rsidRDefault="005F020A" w:rsidP="007A2EA3">
      <w:pPr>
        <w:rPr>
          <w:lang w:eastAsia="en-US"/>
        </w:rPr>
      </w:pPr>
      <w:r>
        <w:rPr>
          <w:noProof/>
        </w:rPr>
        <w:drawing>
          <wp:inline distT="0" distB="0" distL="0" distR="0" wp14:anchorId="726566BE" wp14:editId="372371F2">
            <wp:extent cx="5335270" cy="2705100"/>
            <wp:effectExtent l="0" t="0" r="17780" b="0"/>
            <wp:docPr id="34" name="Chart 34">
              <a:extLst xmlns:a="http://schemas.openxmlformats.org/drawingml/2006/main">
                <a:ext uri="{FF2B5EF4-FFF2-40B4-BE49-F238E27FC236}">
                  <a16:creationId xmlns:a16="http://schemas.microsoft.com/office/drawing/2014/main" id="{A86E0278-07C1-4600-9B05-E9B686432D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C211FE4" w14:textId="77777777" w:rsidR="005F020A" w:rsidRDefault="005F020A" w:rsidP="005F020A">
      <w:r>
        <w:rPr>
          <w:b/>
        </w:rPr>
        <w:t>Figure 1</w:t>
      </w:r>
      <w:r w:rsidR="00BA6ED2">
        <w:rPr>
          <w:b/>
        </w:rPr>
        <w:t>8</w:t>
      </w:r>
      <w:r w:rsidRPr="003149A0">
        <w:rPr>
          <w:b/>
        </w:rPr>
        <w:t>.</w:t>
      </w:r>
      <w:r>
        <w:t xml:space="preserve"> Age-adjusted incident rates</w:t>
      </w:r>
      <w:r w:rsidR="00BA6ED2">
        <w:t xml:space="preserve"> (first ever initiation)</w:t>
      </w:r>
      <w:r>
        <w:t xml:space="preserve"> per 1,000 population – by state</w:t>
      </w:r>
    </w:p>
    <w:p w14:paraId="4DD16ABC" w14:textId="77777777" w:rsidR="00BA6ED2" w:rsidRDefault="003B5153" w:rsidP="005F020A">
      <w:pPr>
        <w:widowControl w:val="0"/>
        <w:rPr>
          <w:rFonts w:cstheme="minorHAnsi"/>
          <w:i/>
          <w:lang w:val="en-US"/>
        </w:rPr>
      </w:pPr>
      <w:r>
        <w:rPr>
          <w:noProof/>
        </w:rPr>
        <w:drawing>
          <wp:inline distT="0" distB="0" distL="0" distR="0" wp14:anchorId="65D7328B" wp14:editId="0BBAF257">
            <wp:extent cx="5311140" cy="3071004"/>
            <wp:effectExtent l="0" t="0" r="3810" b="15240"/>
            <wp:docPr id="26" name="Chart 26">
              <a:extLst xmlns:a="http://schemas.openxmlformats.org/drawingml/2006/main">
                <a:ext uri="{FF2B5EF4-FFF2-40B4-BE49-F238E27FC236}">
                  <a16:creationId xmlns:a16="http://schemas.microsoft.com/office/drawing/2014/main" id="{B9DD311A-DCA1-4DE7-B5BC-E6B95C72D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5F88057" w14:textId="77777777" w:rsidR="003B5153" w:rsidRDefault="003B5153" w:rsidP="003B5153">
      <w:r>
        <w:rPr>
          <w:b/>
        </w:rPr>
        <w:t>Figure 19</w:t>
      </w:r>
      <w:r w:rsidRPr="003149A0">
        <w:rPr>
          <w:b/>
        </w:rPr>
        <w:t>.</w:t>
      </w:r>
      <w:r>
        <w:t xml:space="preserve"> Age-adjusted incident rates (initiation after one year of no use) per 1,000 population – by state</w:t>
      </w:r>
    </w:p>
    <w:p w14:paraId="596085D6" w14:textId="472D959E" w:rsidR="00653B8B" w:rsidRPr="00847FD3" w:rsidRDefault="00486248" w:rsidP="00847FD3">
      <w:pPr>
        <w:pStyle w:val="Heading3"/>
        <w:rPr>
          <w:rFonts w:asciiTheme="minorHAnsi" w:hAnsiTheme="minorHAnsi" w:cstheme="minorHAnsi"/>
          <w:b/>
          <w:i/>
          <w:iCs/>
          <w:sz w:val="28"/>
          <w:szCs w:val="28"/>
        </w:rPr>
      </w:pPr>
      <w:bookmarkStart w:id="46" w:name="_Toc72840899"/>
      <w:r>
        <w:rPr>
          <w:rFonts w:asciiTheme="minorHAnsi" w:hAnsiTheme="minorHAnsi" w:cstheme="minorHAnsi"/>
          <w:b/>
          <w:i/>
          <w:sz w:val="28"/>
          <w:szCs w:val="28"/>
        </w:rPr>
        <w:t>2.4</w:t>
      </w:r>
      <w:r w:rsidR="008819BE" w:rsidRPr="00847FD3">
        <w:rPr>
          <w:rFonts w:asciiTheme="minorHAnsi" w:hAnsiTheme="minorHAnsi" w:cstheme="minorHAnsi"/>
          <w:b/>
          <w:i/>
          <w:sz w:val="28"/>
          <w:szCs w:val="28"/>
        </w:rPr>
        <w:t>.4</w:t>
      </w:r>
      <w:r w:rsidR="0061661B" w:rsidRPr="00847FD3">
        <w:rPr>
          <w:rFonts w:asciiTheme="minorHAnsi" w:hAnsiTheme="minorHAnsi" w:cstheme="minorHAnsi"/>
          <w:b/>
          <w:i/>
          <w:sz w:val="28"/>
          <w:szCs w:val="28"/>
        </w:rPr>
        <w:t xml:space="preserve"> </w:t>
      </w:r>
      <w:r w:rsidR="00653B8B" w:rsidRPr="00847FD3">
        <w:rPr>
          <w:rFonts w:asciiTheme="minorHAnsi" w:hAnsiTheme="minorHAnsi" w:cstheme="minorHAnsi"/>
          <w:b/>
          <w:i/>
          <w:sz w:val="28"/>
          <w:szCs w:val="28"/>
        </w:rPr>
        <w:t>Prevalence of smoking cessation therapies under the PBS in specific populations</w:t>
      </w:r>
      <w:bookmarkEnd w:id="46"/>
      <w:r w:rsidR="00653B8B" w:rsidRPr="00847FD3">
        <w:rPr>
          <w:rFonts w:asciiTheme="minorHAnsi" w:hAnsiTheme="minorHAnsi" w:cstheme="minorHAnsi"/>
          <w:b/>
          <w:i/>
          <w:sz w:val="28"/>
          <w:szCs w:val="28"/>
        </w:rPr>
        <w:t xml:space="preserve"> </w:t>
      </w:r>
    </w:p>
    <w:p w14:paraId="66FB42E0" w14:textId="77777777" w:rsidR="00653B8B" w:rsidRDefault="00653B8B" w:rsidP="00653B8B">
      <w:r w:rsidRPr="007E6285">
        <w:rPr>
          <w:rFonts w:cs="Times New Roman"/>
        </w:rPr>
        <w:t xml:space="preserve">For the prevalent population in each </w:t>
      </w:r>
      <w:r>
        <w:rPr>
          <w:rFonts w:cs="Times New Roman"/>
        </w:rPr>
        <w:t xml:space="preserve">calendar </w:t>
      </w:r>
      <w:r w:rsidRPr="007E6285">
        <w:rPr>
          <w:rFonts w:cs="Times New Roman"/>
        </w:rPr>
        <w:t>year</w:t>
      </w:r>
      <w:r>
        <w:rPr>
          <w:rFonts w:cs="Times New Roman"/>
        </w:rPr>
        <w:t>, e</w:t>
      </w:r>
      <w:r w:rsidRPr="005F711D">
        <w:t xml:space="preserve">stimates of use among specific populations of interest </w:t>
      </w:r>
      <w:r w:rsidR="00AA2FA7">
        <w:t>are</w:t>
      </w:r>
      <w:r w:rsidRPr="005F711D">
        <w:t xml:space="preserve"> presented as the proportion of people in the smoking cessation therapy population who are estimated to be in the population of interest (i.e. the smoking cessation population is the denominator).  </w:t>
      </w:r>
    </w:p>
    <w:p w14:paraId="504166F0" w14:textId="77777777" w:rsidR="0036121F" w:rsidRPr="00452FA2" w:rsidRDefault="00653B8B" w:rsidP="00AA2FA7">
      <w:pPr>
        <w:spacing w:after="0"/>
      </w:pPr>
      <w:r w:rsidRPr="00452FA2">
        <w:t xml:space="preserve">Figure 20 shows that </w:t>
      </w:r>
      <w:r w:rsidR="0036121F" w:rsidRPr="00452FA2">
        <w:t xml:space="preserve">from </w:t>
      </w:r>
      <w:r w:rsidRPr="00452FA2">
        <w:t>people receiving smoking cessation therapy</w:t>
      </w:r>
      <w:r w:rsidR="0036121F" w:rsidRPr="00452FA2">
        <w:t xml:space="preserve"> in 2019:</w:t>
      </w:r>
    </w:p>
    <w:p w14:paraId="7816DDAD" w14:textId="77777777" w:rsidR="0036121F" w:rsidRDefault="0036121F" w:rsidP="00AA7472">
      <w:pPr>
        <w:pStyle w:val="ListParagraph"/>
        <w:numPr>
          <w:ilvl w:val="0"/>
          <w:numId w:val="4"/>
        </w:numPr>
        <w:ind w:left="426"/>
        <w:rPr>
          <w:rFonts w:asciiTheme="minorHAnsi" w:hAnsiTheme="minorHAnsi"/>
        </w:rPr>
      </w:pPr>
      <w:r w:rsidRPr="0036121F">
        <w:rPr>
          <w:rFonts w:asciiTheme="minorHAnsi" w:hAnsiTheme="minorHAnsi"/>
        </w:rPr>
        <w:t xml:space="preserve">40% </w:t>
      </w:r>
      <w:r w:rsidR="00653B8B" w:rsidRPr="0036121F">
        <w:rPr>
          <w:rFonts w:asciiTheme="minorHAnsi" w:hAnsiTheme="minorHAnsi"/>
        </w:rPr>
        <w:t xml:space="preserve">also had </w:t>
      </w:r>
      <w:r w:rsidR="00630CC5">
        <w:rPr>
          <w:rFonts w:asciiTheme="minorHAnsi" w:hAnsiTheme="minorHAnsi"/>
        </w:rPr>
        <w:t xml:space="preserve">medicines for </w:t>
      </w:r>
      <w:r w:rsidR="00653B8B" w:rsidRPr="0036121F">
        <w:rPr>
          <w:rFonts w:asciiTheme="minorHAnsi" w:hAnsiTheme="minorHAnsi"/>
        </w:rPr>
        <w:t xml:space="preserve">mental illness, </w:t>
      </w:r>
      <w:r w:rsidR="00A30487">
        <w:rPr>
          <w:rFonts w:asciiTheme="minorHAnsi" w:hAnsiTheme="minorHAnsi"/>
        </w:rPr>
        <w:t>as measured by antipsychotic and antidepressant use</w:t>
      </w:r>
    </w:p>
    <w:p w14:paraId="2043238C" w14:textId="77777777" w:rsidR="0036121F" w:rsidRPr="0036121F" w:rsidRDefault="0036121F" w:rsidP="00AA7472">
      <w:pPr>
        <w:pStyle w:val="ListParagraph"/>
        <w:numPr>
          <w:ilvl w:val="0"/>
          <w:numId w:val="4"/>
        </w:numPr>
        <w:ind w:left="426"/>
        <w:rPr>
          <w:rFonts w:asciiTheme="minorHAnsi" w:hAnsiTheme="minorHAnsi"/>
        </w:rPr>
      </w:pPr>
      <w:r>
        <w:rPr>
          <w:rFonts w:asciiTheme="minorHAnsi" w:hAnsiTheme="minorHAnsi"/>
        </w:rPr>
        <w:t xml:space="preserve">18% were women </w:t>
      </w:r>
      <w:r w:rsidR="00AA2FA7">
        <w:rPr>
          <w:rFonts w:asciiTheme="minorHAnsi" w:hAnsiTheme="minorHAnsi"/>
        </w:rPr>
        <w:t>of</w:t>
      </w:r>
      <w:r>
        <w:rPr>
          <w:rFonts w:asciiTheme="minorHAnsi" w:hAnsiTheme="minorHAnsi"/>
        </w:rPr>
        <w:t xml:space="preserve"> child-bearing age</w:t>
      </w:r>
      <w:r w:rsidR="00A30487">
        <w:rPr>
          <w:rFonts w:asciiTheme="minorHAnsi" w:hAnsiTheme="minorHAnsi"/>
        </w:rPr>
        <w:t xml:space="preserve"> (aged 15 to 44 years)</w:t>
      </w:r>
    </w:p>
    <w:p w14:paraId="4AB76256" w14:textId="77777777" w:rsidR="0036121F" w:rsidRPr="0036121F" w:rsidRDefault="00653B8B" w:rsidP="00AA7472">
      <w:pPr>
        <w:pStyle w:val="ListParagraph"/>
        <w:numPr>
          <w:ilvl w:val="0"/>
          <w:numId w:val="4"/>
        </w:numPr>
        <w:ind w:left="426"/>
        <w:rPr>
          <w:rFonts w:asciiTheme="minorHAnsi" w:hAnsiTheme="minorHAnsi"/>
        </w:rPr>
      </w:pPr>
      <w:r w:rsidRPr="0036121F">
        <w:rPr>
          <w:rFonts w:asciiTheme="minorHAnsi" w:hAnsiTheme="minorHAnsi"/>
        </w:rPr>
        <w:t xml:space="preserve">16% </w:t>
      </w:r>
      <w:r w:rsidR="0036121F">
        <w:rPr>
          <w:rFonts w:asciiTheme="minorHAnsi" w:hAnsiTheme="minorHAnsi"/>
        </w:rPr>
        <w:t xml:space="preserve">also </w:t>
      </w:r>
      <w:r w:rsidRPr="0036121F">
        <w:rPr>
          <w:rFonts w:asciiTheme="minorHAnsi" w:hAnsiTheme="minorHAnsi"/>
        </w:rPr>
        <w:t xml:space="preserve">had </w:t>
      </w:r>
      <w:r w:rsidR="00245F51">
        <w:rPr>
          <w:rFonts w:asciiTheme="minorHAnsi" w:hAnsiTheme="minorHAnsi"/>
        </w:rPr>
        <w:t>smoking related</w:t>
      </w:r>
      <w:r w:rsidRPr="0036121F">
        <w:rPr>
          <w:rFonts w:asciiTheme="minorHAnsi" w:hAnsiTheme="minorHAnsi"/>
        </w:rPr>
        <w:t xml:space="preserve"> illness</w:t>
      </w:r>
      <w:r w:rsidR="00A30487">
        <w:rPr>
          <w:rFonts w:asciiTheme="minorHAnsi" w:hAnsiTheme="minorHAnsi"/>
        </w:rPr>
        <w:t xml:space="preserve"> (</w:t>
      </w:r>
      <w:r w:rsidR="00A30487" w:rsidRPr="00DC5084">
        <w:rPr>
          <w:rFonts w:asciiTheme="minorHAnsi" w:hAnsiTheme="minorHAnsi"/>
        </w:rPr>
        <w:t>medicines for chronic respiratory disorders or chronic obstructive pulmonary disease</w:t>
      </w:r>
      <w:r w:rsidR="00A30487">
        <w:rPr>
          <w:rFonts w:asciiTheme="minorHAnsi" w:hAnsiTheme="minorHAnsi"/>
        </w:rPr>
        <w:t>)</w:t>
      </w:r>
    </w:p>
    <w:p w14:paraId="78446B15" w14:textId="51055895" w:rsidR="0036121F" w:rsidRPr="0036121F" w:rsidRDefault="00653B8B" w:rsidP="00AA7472">
      <w:pPr>
        <w:pStyle w:val="ListParagraph"/>
        <w:numPr>
          <w:ilvl w:val="0"/>
          <w:numId w:val="4"/>
        </w:numPr>
        <w:ind w:left="426"/>
        <w:rPr>
          <w:rFonts w:asciiTheme="minorHAnsi" w:hAnsiTheme="minorHAnsi"/>
        </w:rPr>
      </w:pPr>
      <w:r w:rsidRPr="0036121F">
        <w:rPr>
          <w:rFonts w:asciiTheme="minorHAnsi" w:hAnsiTheme="minorHAnsi"/>
        </w:rPr>
        <w:t xml:space="preserve">10% were Aboriginal and Torres Strait Islander </w:t>
      </w:r>
      <w:r w:rsidR="00AA2FA7">
        <w:rPr>
          <w:rFonts w:asciiTheme="minorHAnsi" w:hAnsiTheme="minorHAnsi"/>
        </w:rPr>
        <w:t>persons</w:t>
      </w:r>
      <w:r w:rsidRPr="0036121F">
        <w:rPr>
          <w:rFonts w:asciiTheme="minorHAnsi" w:hAnsiTheme="minorHAnsi"/>
        </w:rPr>
        <w:t xml:space="preserve">, </w:t>
      </w:r>
      <w:r w:rsidR="00A30487">
        <w:rPr>
          <w:rFonts w:asciiTheme="minorHAnsi" w:hAnsiTheme="minorHAnsi"/>
        </w:rPr>
        <w:t>identified by following criteria – a supply</w:t>
      </w:r>
      <w:r w:rsidR="0012280F">
        <w:rPr>
          <w:rFonts w:asciiTheme="minorHAnsi" w:hAnsiTheme="minorHAnsi"/>
        </w:rPr>
        <w:t xml:space="preserve"> of prescriptions under the C</w:t>
      </w:r>
      <w:r w:rsidR="00A30487">
        <w:rPr>
          <w:rFonts w:asciiTheme="minorHAnsi" w:hAnsiTheme="minorHAnsi"/>
        </w:rPr>
        <w:t>losing the Gap</w:t>
      </w:r>
      <w:r w:rsidR="0012280F">
        <w:rPr>
          <w:rFonts w:asciiTheme="minorHAnsi" w:hAnsiTheme="minorHAnsi"/>
        </w:rPr>
        <w:t xml:space="preserve"> Co-Payment Measure</w:t>
      </w:r>
      <w:r w:rsidR="00A30487">
        <w:rPr>
          <w:rFonts w:asciiTheme="minorHAnsi" w:hAnsiTheme="minorHAnsi"/>
        </w:rPr>
        <w:t xml:space="preserve"> program, or utilisation of Indigenous-specific MBS items, or Voluntary Indigenous Identifier</w:t>
      </w:r>
    </w:p>
    <w:p w14:paraId="73CD0FC5" w14:textId="77777777" w:rsidR="00653B8B" w:rsidRPr="0036121F" w:rsidRDefault="00653B8B" w:rsidP="00AA7472">
      <w:pPr>
        <w:pStyle w:val="ListParagraph"/>
        <w:numPr>
          <w:ilvl w:val="0"/>
          <w:numId w:val="4"/>
        </w:numPr>
        <w:ind w:left="426"/>
        <w:rPr>
          <w:rFonts w:asciiTheme="minorHAnsi" w:hAnsiTheme="minorHAnsi"/>
        </w:rPr>
      </w:pPr>
      <w:r w:rsidRPr="0036121F">
        <w:rPr>
          <w:rFonts w:asciiTheme="minorHAnsi" w:hAnsiTheme="minorHAnsi"/>
        </w:rPr>
        <w:t xml:space="preserve">1% </w:t>
      </w:r>
      <w:r w:rsidR="00824DD7">
        <w:rPr>
          <w:rFonts w:asciiTheme="minorHAnsi" w:hAnsiTheme="minorHAnsi"/>
        </w:rPr>
        <w:t xml:space="preserve">were at risk of alcohol abuse, as measured by </w:t>
      </w:r>
      <w:r w:rsidR="0036121F" w:rsidRPr="0036121F">
        <w:rPr>
          <w:rFonts w:asciiTheme="minorHAnsi" w:hAnsiTheme="minorHAnsi"/>
        </w:rPr>
        <w:t>medicines for alcohol dependence</w:t>
      </w:r>
    </w:p>
    <w:p w14:paraId="1CE2DE3F" w14:textId="77777777" w:rsidR="0036121F" w:rsidRDefault="0036121F" w:rsidP="00437349">
      <w:pPr>
        <w:pStyle w:val="ListParagraph"/>
      </w:pPr>
    </w:p>
    <w:p w14:paraId="4674DD18" w14:textId="77777777" w:rsidR="00A30487" w:rsidRPr="005F711D" w:rsidRDefault="00A30487" w:rsidP="00437349">
      <w:pPr>
        <w:pStyle w:val="ListParagraph"/>
      </w:pPr>
    </w:p>
    <w:p w14:paraId="0C52C321" w14:textId="77777777" w:rsidR="00653B8B" w:rsidRDefault="00653B8B" w:rsidP="003B5153">
      <w:r>
        <w:rPr>
          <w:noProof/>
        </w:rPr>
        <w:drawing>
          <wp:inline distT="0" distB="0" distL="0" distR="0" wp14:anchorId="1DEFA00A" wp14:editId="0CDB6E76">
            <wp:extent cx="5112385" cy="3631721"/>
            <wp:effectExtent l="0" t="0" r="12065" b="6985"/>
            <wp:docPr id="27" name="Chart 27">
              <a:extLst xmlns:a="http://schemas.openxmlformats.org/drawingml/2006/main">
                <a:ext uri="{FF2B5EF4-FFF2-40B4-BE49-F238E27FC236}">
                  <a16:creationId xmlns:a16="http://schemas.microsoft.com/office/drawing/2014/main" id="{AD995268-9E5E-4CDD-9AFA-822AF7A9A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E14818F" w14:textId="77777777" w:rsidR="00653B8B" w:rsidRDefault="00653B8B" w:rsidP="003B5153">
      <w:r w:rsidRPr="00653B8B">
        <w:rPr>
          <w:b/>
          <w:bCs/>
        </w:rPr>
        <w:t>Figure 20.</w:t>
      </w:r>
      <w:r>
        <w:t xml:space="preserve"> Proportion of people who received smoking cessation therapies who are estimated to be in the population of interest.</w:t>
      </w:r>
    </w:p>
    <w:p w14:paraId="53BB2A1B" w14:textId="77777777" w:rsidR="00214226" w:rsidRDefault="00DB174C" w:rsidP="00214226">
      <w:r w:rsidRPr="00842121">
        <w:t>Table 3 presents t</w:t>
      </w:r>
      <w:r w:rsidR="00214226" w:rsidRPr="00842121">
        <w:t xml:space="preserve">he number of </w:t>
      </w:r>
      <w:r w:rsidR="00AA2FA7" w:rsidRPr="00842121">
        <w:t xml:space="preserve">smoking cessation therapy </w:t>
      </w:r>
      <w:r w:rsidRPr="00842121">
        <w:t>packs provided by</w:t>
      </w:r>
      <w:r w:rsidR="00214226" w:rsidRPr="00842121">
        <w:t xml:space="preserve"> Aboriginal Health Services</w:t>
      </w:r>
      <w:r w:rsidRPr="00842121">
        <w:t xml:space="preserve"> (AHS). </w:t>
      </w:r>
      <w:r w:rsidR="00214226" w:rsidRPr="00842121">
        <w:t xml:space="preserve"> </w:t>
      </w:r>
      <w:r w:rsidRPr="00842121">
        <w:t>The total number of packs for all smoking cessation therapy through AHS in 2019 was 56</w:t>
      </w:r>
      <w:r w:rsidR="00842121" w:rsidRPr="00842121">
        <w:t>39</w:t>
      </w:r>
      <w:r w:rsidRPr="00842121">
        <w:t xml:space="preserve">, which is </w:t>
      </w:r>
      <w:r w:rsidR="00842121" w:rsidRPr="00842121">
        <w:t>1.04</w:t>
      </w:r>
      <w:r w:rsidRPr="00842121">
        <w:t xml:space="preserve">% of the number of smoking cessation therapies supplied under the PBS in the same </w:t>
      </w:r>
      <w:r w:rsidR="00D04692">
        <w:t xml:space="preserve">calendar </w:t>
      </w:r>
      <w:r w:rsidRPr="00842121">
        <w:t>year (N=</w:t>
      </w:r>
      <w:r w:rsidR="00CA192F" w:rsidRPr="00842121">
        <w:t>540,122</w:t>
      </w:r>
      <w:r w:rsidRPr="00842121">
        <w:t>)</w:t>
      </w:r>
      <w:r w:rsidR="00CA192F" w:rsidRPr="00842121">
        <w:t>.</w:t>
      </w:r>
    </w:p>
    <w:p w14:paraId="4E4B41DF" w14:textId="77777777" w:rsidR="00DB174C" w:rsidRPr="00BF7350" w:rsidRDefault="00DB174C" w:rsidP="00214226">
      <w:r w:rsidRPr="00842121">
        <w:rPr>
          <w:b/>
          <w:bCs/>
        </w:rPr>
        <w:t>Table 3.</w:t>
      </w:r>
      <w:r w:rsidRPr="00842121">
        <w:t xml:space="preserve"> Number of packs of smoking cessation therapy provided by </w:t>
      </w:r>
      <w:r w:rsidR="00842121" w:rsidRPr="00842121">
        <w:t>A</w:t>
      </w:r>
      <w:r w:rsidRPr="00842121">
        <w:t xml:space="preserve">boriginal </w:t>
      </w:r>
      <w:r w:rsidR="00842121" w:rsidRPr="00842121">
        <w:t>H</w:t>
      </w:r>
      <w:r w:rsidRPr="00842121">
        <w:t xml:space="preserve">ealth </w:t>
      </w:r>
      <w:r w:rsidR="00842121" w:rsidRPr="00842121">
        <w:t>S</w:t>
      </w:r>
      <w:r w:rsidRPr="00842121">
        <w:t>ervices</w:t>
      </w:r>
      <w:r>
        <w:t xml:space="preserve"> </w:t>
      </w:r>
    </w:p>
    <w:tbl>
      <w:tblPr>
        <w:tblStyle w:val="TableGrid"/>
        <w:tblW w:w="0" w:type="auto"/>
        <w:tblLook w:val="04A0" w:firstRow="1" w:lastRow="0" w:firstColumn="1" w:lastColumn="0" w:noHBand="0" w:noVBand="1"/>
      </w:tblPr>
      <w:tblGrid>
        <w:gridCol w:w="1659"/>
        <w:gridCol w:w="1659"/>
        <w:gridCol w:w="1659"/>
        <w:gridCol w:w="1659"/>
        <w:gridCol w:w="1660"/>
      </w:tblGrid>
      <w:tr w:rsidR="00DB174C" w14:paraId="08FD7D85" w14:textId="77777777" w:rsidTr="00DB174C">
        <w:tc>
          <w:tcPr>
            <w:tcW w:w="1659" w:type="dxa"/>
          </w:tcPr>
          <w:p w14:paraId="382AEFB7" w14:textId="77777777" w:rsidR="00DB174C" w:rsidRDefault="00DB174C" w:rsidP="00DB174C">
            <w:pPr>
              <w:spacing w:after="0"/>
            </w:pPr>
            <w:r>
              <w:t>Year</w:t>
            </w:r>
          </w:p>
        </w:tc>
        <w:tc>
          <w:tcPr>
            <w:tcW w:w="1659" w:type="dxa"/>
          </w:tcPr>
          <w:p w14:paraId="623B01F1" w14:textId="77777777" w:rsidR="00DB174C" w:rsidRDefault="00DB174C" w:rsidP="00DB174C">
            <w:pPr>
              <w:spacing w:after="0"/>
            </w:pPr>
            <w:r>
              <w:t>Bupropion</w:t>
            </w:r>
          </w:p>
        </w:tc>
        <w:tc>
          <w:tcPr>
            <w:tcW w:w="1659" w:type="dxa"/>
          </w:tcPr>
          <w:p w14:paraId="0CC658D0" w14:textId="77777777" w:rsidR="00DB174C" w:rsidRDefault="00DB174C" w:rsidP="00DB174C">
            <w:pPr>
              <w:spacing w:after="0"/>
            </w:pPr>
            <w:r>
              <w:t>NRT</w:t>
            </w:r>
          </w:p>
        </w:tc>
        <w:tc>
          <w:tcPr>
            <w:tcW w:w="1659" w:type="dxa"/>
          </w:tcPr>
          <w:p w14:paraId="3049EA5F" w14:textId="77777777" w:rsidR="00DB174C" w:rsidRDefault="00DB174C" w:rsidP="00DB174C">
            <w:pPr>
              <w:spacing w:after="0"/>
            </w:pPr>
            <w:r>
              <w:t>Varenicline</w:t>
            </w:r>
          </w:p>
        </w:tc>
        <w:tc>
          <w:tcPr>
            <w:tcW w:w="1660" w:type="dxa"/>
          </w:tcPr>
          <w:p w14:paraId="1EB10AF1" w14:textId="77777777" w:rsidR="00DB174C" w:rsidRDefault="00DB174C" w:rsidP="00DB174C">
            <w:pPr>
              <w:spacing w:after="0"/>
            </w:pPr>
            <w:r>
              <w:t>Total</w:t>
            </w:r>
          </w:p>
        </w:tc>
      </w:tr>
      <w:tr w:rsidR="00DB174C" w14:paraId="235159C2" w14:textId="77777777" w:rsidTr="00DB174C">
        <w:tc>
          <w:tcPr>
            <w:tcW w:w="1659" w:type="dxa"/>
          </w:tcPr>
          <w:p w14:paraId="7FC5131B" w14:textId="77777777" w:rsidR="00DB174C" w:rsidRDefault="00DB174C" w:rsidP="00DB174C">
            <w:pPr>
              <w:spacing w:after="0"/>
            </w:pPr>
            <w:r>
              <w:t>2011</w:t>
            </w:r>
          </w:p>
        </w:tc>
        <w:tc>
          <w:tcPr>
            <w:tcW w:w="1659" w:type="dxa"/>
          </w:tcPr>
          <w:p w14:paraId="467AF110" w14:textId="77777777" w:rsidR="00DB174C" w:rsidRDefault="00DB174C" w:rsidP="00DB174C">
            <w:pPr>
              <w:spacing w:after="0"/>
            </w:pPr>
            <w:r>
              <w:t>154</w:t>
            </w:r>
          </w:p>
        </w:tc>
        <w:tc>
          <w:tcPr>
            <w:tcW w:w="1659" w:type="dxa"/>
          </w:tcPr>
          <w:p w14:paraId="757ECF32" w14:textId="77777777" w:rsidR="00DB174C" w:rsidRDefault="00DB174C" w:rsidP="00DB174C">
            <w:pPr>
              <w:spacing w:after="0"/>
            </w:pPr>
            <w:r>
              <w:t>2030</w:t>
            </w:r>
          </w:p>
        </w:tc>
        <w:tc>
          <w:tcPr>
            <w:tcW w:w="1659" w:type="dxa"/>
          </w:tcPr>
          <w:p w14:paraId="1CDFAFF2" w14:textId="77777777" w:rsidR="00DB174C" w:rsidRDefault="00DB174C" w:rsidP="00DB174C">
            <w:pPr>
              <w:spacing w:after="0"/>
            </w:pPr>
            <w:r>
              <w:t>1831</w:t>
            </w:r>
          </w:p>
        </w:tc>
        <w:tc>
          <w:tcPr>
            <w:tcW w:w="1660" w:type="dxa"/>
          </w:tcPr>
          <w:p w14:paraId="4C6D9747" w14:textId="77777777" w:rsidR="00DB174C" w:rsidRDefault="00DB174C" w:rsidP="00DB174C">
            <w:pPr>
              <w:spacing w:after="0"/>
            </w:pPr>
            <w:r>
              <w:t>4015</w:t>
            </w:r>
          </w:p>
        </w:tc>
      </w:tr>
      <w:tr w:rsidR="00DB174C" w14:paraId="4F9D6EB0" w14:textId="77777777" w:rsidTr="00DB174C">
        <w:tc>
          <w:tcPr>
            <w:tcW w:w="1659" w:type="dxa"/>
          </w:tcPr>
          <w:p w14:paraId="02ED2E96" w14:textId="77777777" w:rsidR="00DB174C" w:rsidRDefault="00DB174C" w:rsidP="00DB174C">
            <w:pPr>
              <w:spacing w:after="0"/>
            </w:pPr>
            <w:r>
              <w:t>2012</w:t>
            </w:r>
          </w:p>
        </w:tc>
        <w:tc>
          <w:tcPr>
            <w:tcW w:w="1659" w:type="dxa"/>
          </w:tcPr>
          <w:p w14:paraId="6020F26D" w14:textId="77777777" w:rsidR="00DB174C" w:rsidRDefault="00DB174C" w:rsidP="00DB174C">
            <w:pPr>
              <w:spacing w:after="0"/>
            </w:pPr>
            <w:r>
              <w:t>129</w:t>
            </w:r>
          </w:p>
        </w:tc>
        <w:tc>
          <w:tcPr>
            <w:tcW w:w="1659" w:type="dxa"/>
          </w:tcPr>
          <w:p w14:paraId="6B0139CE" w14:textId="77777777" w:rsidR="00DB174C" w:rsidRDefault="00DB174C" w:rsidP="00DB174C">
            <w:pPr>
              <w:spacing w:after="0"/>
            </w:pPr>
            <w:r>
              <w:t>2682</w:t>
            </w:r>
          </w:p>
        </w:tc>
        <w:tc>
          <w:tcPr>
            <w:tcW w:w="1659" w:type="dxa"/>
          </w:tcPr>
          <w:p w14:paraId="29138E7F" w14:textId="77777777" w:rsidR="00DB174C" w:rsidRDefault="00DB174C" w:rsidP="00DB174C">
            <w:pPr>
              <w:spacing w:after="0"/>
            </w:pPr>
            <w:r>
              <w:t>1915</w:t>
            </w:r>
          </w:p>
        </w:tc>
        <w:tc>
          <w:tcPr>
            <w:tcW w:w="1660" w:type="dxa"/>
          </w:tcPr>
          <w:p w14:paraId="6E4E5EF2" w14:textId="77777777" w:rsidR="00DB174C" w:rsidRDefault="00DB174C" w:rsidP="00DB174C">
            <w:pPr>
              <w:spacing w:after="0"/>
            </w:pPr>
            <w:r>
              <w:t>4726</w:t>
            </w:r>
          </w:p>
        </w:tc>
      </w:tr>
      <w:tr w:rsidR="00DB174C" w14:paraId="35F28E99" w14:textId="77777777" w:rsidTr="00DB174C">
        <w:tc>
          <w:tcPr>
            <w:tcW w:w="1659" w:type="dxa"/>
          </w:tcPr>
          <w:p w14:paraId="65AC2AAE" w14:textId="77777777" w:rsidR="00DB174C" w:rsidRDefault="00DB174C" w:rsidP="00DB174C">
            <w:pPr>
              <w:spacing w:after="0"/>
            </w:pPr>
            <w:r>
              <w:t>2013</w:t>
            </w:r>
          </w:p>
        </w:tc>
        <w:tc>
          <w:tcPr>
            <w:tcW w:w="1659" w:type="dxa"/>
          </w:tcPr>
          <w:p w14:paraId="18EE3FC3" w14:textId="77777777" w:rsidR="00DB174C" w:rsidRDefault="00DB174C" w:rsidP="00DB174C">
            <w:pPr>
              <w:spacing w:after="0"/>
            </w:pPr>
            <w:r>
              <w:t>9</w:t>
            </w:r>
            <w:r w:rsidR="00340D05">
              <w:t>7</w:t>
            </w:r>
          </w:p>
        </w:tc>
        <w:tc>
          <w:tcPr>
            <w:tcW w:w="1659" w:type="dxa"/>
          </w:tcPr>
          <w:p w14:paraId="0710DA8F" w14:textId="77777777" w:rsidR="00DB174C" w:rsidRDefault="00DB174C" w:rsidP="00DB174C">
            <w:pPr>
              <w:spacing w:after="0"/>
            </w:pPr>
            <w:r>
              <w:t>2797</w:t>
            </w:r>
          </w:p>
        </w:tc>
        <w:tc>
          <w:tcPr>
            <w:tcW w:w="1659" w:type="dxa"/>
          </w:tcPr>
          <w:p w14:paraId="2C9D54B3" w14:textId="77777777" w:rsidR="00DB174C" w:rsidRDefault="00DB174C" w:rsidP="00DB174C">
            <w:pPr>
              <w:spacing w:after="0"/>
            </w:pPr>
            <w:r>
              <w:t>1869</w:t>
            </w:r>
          </w:p>
        </w:tc>
        <w:tc>
          <w:tcPr>
            <w:tcW w:w="1660" w:type="dxa"/>
          </w:tcPr>
          <w:p w14:paraId="2AC72C13" w14:textId="77777777" w:rsidR="00340D05" w:rsidRDefault="00DB174C" w:rsidP="00340D05">
            <w:pPr>
              <w:spacing w:after="0"/>
            </w:pPr>
            <w:r>
              <w:t>476</w:t>
            </w:r>
            <w:r w:rsidR="00340D05">
              <w:t>3</w:t>
            </w:r>
          </w:p>
        </w:tc>
      </w:tr>
      <w:tr w:rsidR="00DB174C" w14:paraId="0D70768B" w14:textId="77777777" w:rsidTr="00DB174C">
        <w:tc>
          <w:tcPr>
            <w:tcW w:w="1659" w:type="dxa"/>
          </w:tcPr>
          <w:p w14:paraId="3555582D" w14:textId="77777777" w:rsidR="00DB174C" w:rsidRDefault="00DB174C" w:rsidP="00DB174C">
            <w:pPr>
              <w:spacing w:after="0"/>
            </w:pPr>
            <w:r>
              <w:t>2014</w:t>
            </w:r>
          </w:p>
        </w:tc>
        <w:tc>
          <w:tcPr>
            <w:tcW w:w="1659" w:type="dxa"/>
          </w:tcPr>
          <w:p w14:paraId="262492F6" w14:textId="77777777" w:rsidR="00DB174C" w:rsidRDefault="00DB174C" w:rsidP="00DB174C">
            <w:pPr>
              <w:spacing w:after="0"/>
            </w:pPr>
            <w:r>
              <w:t>87</w:t>
            </w:r>
          </w:p>
        </w:tc>
        <w:tc>
          <w:tcPr>
            <w:tcW w:w="1659" w:type="dxa"/>
          </w:tcPr>
          <w:p w14:paraId="6426AE53" w14:textId="77777777" w:rsidR="00DB174C" w:rsidRDefault="00DB174C" w:rsidP="00DB174C">
            <w:pPr>
              <w:spacing w:after="0"/>
            </w:pPr>
            <w:r>
              <w:t>3342</w:t>
            </w:r>
          </w:p>
        </w:tc>
        <w:tc>
          <w:tcPr>
            <w:tcW w:w="1659" w:type="dxa"/>
          </w:tcPr>
          <w:p w14:paraId="3AFA8084" w14:textId="77777777" w:rsidR="00DB174C" w:rsidRDefault="00DB174C" w:rsidP="00DB174C">
            <w:pPr>
              <w:spacing w:after="0"/>
            </w:pPr>
            <w:r>
              <w:t>1807</w:t>
            </w:r>
          </w:p>
        </w:tc>
        <w:tc>
          <w:tcPr>
            <w:tcW w:w="1660" w:type="dxa"/>
          </w:tcPr>
          <w:p w14:paraId="3721240A" w14:textId="77777777" w:rsidR="00DB174C" w:rsidRDefault="00DB174C" w:rsidP="00DB174C">
            <w:pPr>
              <w:spacing w:after="0"/>
            </w:pPr>
            <w:r>
              <w:t>5236</w:t>
            </w:r>
          </w:p>
        </w:tc>
      </w:tr>
      <w:tr w:rsidR="00DB174C" w14:paraId="4D6BDBC0" w14:textId="77777777" w:rsidTr="00DB174C">
        <w:tc>
          <w:tcPr>
            <w:tcW w:w="1659" w:type="dxa"/>
          </w:tcPr>
          <w:p w14:paraId="2E805CFB" w14:textId="77777777" w:rsidR="00DB174C" w:rsidRDefault="00DB174C" w:rsidP="00DB174C">
            <w:pPr>
              <w:spacing w:after="0"/>
            </w:pPr>
            <w:r>
              <w:t>2015</w:t>
            </w:r>
          </w:p>
        </w:tc>
        <w:tc>
          <w:tcPr>
            <w:tcW w:w="1659" w:type="dxa"/>
          </w:tcPr>
          <w:p w14:paraId="0D7BE2A7" w14:textId="77777777" w:rsidR="00DB174C" w:rsidRDefault="00DB174C" w:rsidP="00DB174C">
            <w:pPr>
              <w:spacing w:after="0"/>
            </w:pPr>
            <w:r>
              <w:t>4</w:t>
            </w:r>
            <w:r w:rsidR="00340D05">
              <w:t>9</w:t>
            </w:r>
          </w:p>
        </w:tc>
        <w:tc>
          <w:tcPr>
            <w:tcW w:w="1659" w:type="dxa"/>
          </w:tcPr>
          <w:p w14:paraId="64B2CF7F" w14:textId="77777777" w:rsidR="00DB174C" w:rsidRDefault="00340D05" w:rsidP="00DB174C">
            <w:pPr>
              <w:spacing w:after="0"/>
            </w:pPr>
            <w:r>
              <w:t>2071</w:t>
            </w:r>
          </w:p>
        </w:tc>
        <w:tc>
          <w:tcPr>
            <w:tcW w:w="1659" w:type="dxa"/>
          </w:tcPr>
          <w:p w14:paraId="3ACF2922" w14:textId="77777777" w:rsidR="00DB174C" w:rsidRDefault="00DB174C" w:rsidP="00DB174C">
            <w:pPr>
              <w:spacing w:after="0"/>
            </w:pPr>
            <w:r>
              <w:t>1</w:t>
            </w:r>
            <w:r w:rsidR="00340D05">
              <w:t>176</w:t>
            </w:r>
          </w:p>
        </w:tc>
        <w:tc>
          <w:tcPr>
            <w:tcW w:w="1660" w:type="dxa"/>
          </w:tcPr>
          <w:p w14:paraId="3869C9B4" w14:textId="77777777" w:rsidR="00DB174C" w:rsidRDefault="00340D05" w:rsidP="00DB174C">
            <w:pPr>
              <w:spacing w:after="0"/>
            </w:pPr>
            <w:r>
              <w:t>3296</w:t>
            </w:r>
          </w:p>
        </w:tc>
      </w:tr>
      <w:tr w:rsidR="00DB174C" w14:paraId="3CC7C728" w14:textId="77777777" w:rsidTr="00DB174C">
        <w:tc>
          <w:tcPr>
            <w:tcW w:w="1659" w:type="dxa"/>
          </w:tcPr>
          <w:p w14:paraId="3DDA3B07" w14:textId="77777777" w:rsidR="00DB174C" w:rsidRDefault="00DB174C" w:rsidP="00DB174C">
            <w:pPr>
              <w:spacing w:after="0"/>
            </w:pPr>
            <w:r>
              <w:t>2016</w:t>
            </w:r>
          </w:p>
        </w:tc>
        <w:tc>
          <w:tcPr>
            <w:tcW w:w="1659" w:type="dxa"/>
          </w:tcPr>
          <w:p w14:paraId="7817530E" w14:textId="77777777" w:rsidR="00DB174C" w:rsidRDefault="00340D05" w:rsidP="00DB174C">
            <w:pPr>
              <w:spacing w:after="0"/>
            </w:pPr>
            <w:r>
              <w:t>42</w:t>
            </w:r>
          </w:p>
        </w:tc>
        <w:tc>
          <w:tcPr>
            <w:tcW w:w="1659" w:type="dxa"/>
          </w:tcPr>
          <w:p w14:paraId="31DA4649" w14:textId="77777777" w:rsidR="00DB174C" w:rsidRDefault="00340D05" w:rsidP="00DB174C">
            <w:pPr>
              <w:spacing w:after="0"/>
            </w:pPr>
            <w:r>
              <w:t>3091</w:t>
            </w:r>
          </w:p>
        </w:tc>
        <w:tc>
          <w:tcPr>
            <w:tcW w:w="1659" w:type="dxa"/>
          </w:tcPr>
          <w:p w14:paraId="1DC71E49" w14:textId="77777777" w:rsidR="00DB174C" w:rsidRDefault="00340D05" w:rsidP="00DB174C">
            <w:pPr>
              <w:spacing w:after="0"/>
            </w:pPr>
            <w:r>
              <w:t>1520</w:t>
            </w:r>
          </w:p>
        </w:tc>
        <w:tc>
          <w:tcPr>
            <w:tcW w:w="1660" w:type="dxa"/>
          </w:tcPr>
          <w:p w14:paraId="7AE1A019" w14:textId="77777777" w:rsidR="00DB174C" w:rsidRDefault="00340D05" w:rsidP="00DB174C">
            <w:pPr>
              <w:spacing w:after="0"/>
            </w:pPr>
            <w:r>
              <w:t>4653</w:t>
            </w:r>
          </w:p>
        </w:tc>
      </w:tr>
      <w:tr w:rsidR="00DB174C" w14:paraId="14432170" w14:textId="77777777" w:rsidTr="00DB174C">
        <w:tc>
          <w:tcPr>
            <w:tcW w:w="1659" w:type="dxa"/>
          </w:tcPr>
          <w:p w14:paraId="57302EE8" w14:textId="77777777" w:rsidR="00DB174C" w:rsidRDefault="00DB174C" w:rsidP="00DB174C">
            <w:pPr>
              <w:spacing w:after="0"/>
            </w:pPr>
            <w:r>
              <w:t>2017</w:t>
            </w:r>
          </w:p>
        </w:tc>
        <w:tc>
          <w:tcPr>
            <w:tcW w:w="1659" w:type="dxa"/>
          </w:tcPr>
          <w:p w14:paraId="6E847144" w14:textId="77777777" w:rsidR="00DB174C" w:rsidRDefault="00340D05" w:rsidP="00DB174C">
            <w:pPr>
              <w:spacing w:after="0"/>
            </w:pPr>
            <w:r>
              <w:t>112</w:t>
            </w:r>
          </w:p>
        </w:tc>
        <w:tc>
          <w:tcPr>
            <w:tcW w:w="1659" w:type="dxa"/>
          </w:tcPr>
          <w:p w14:paraId="69FA28A0" w14:textId="77777777" w:rsidR="00DB174C" w:rsidRDefault="00340D05" w:rsidP="00DB174C">
            <w:pPr>
              <w:spacing w:after="0"/>
            </w:pPr>
            <w:r>
              <w:t>3130</w:t>
            </w:r>
          </w:p>
        </w:tc>
        <w:tc>
          <w:tcPr>
            <w:tcW w:w="1659" w:type="dxa"/>
          </w:tcPr>
          <w:p w14:paraId="3CF563C2" w14:textId="77777777" w:rsidR="00DB174C" w:rsidRDefault="00340D05" w:rsidP="00DB174C">
            <w:pPr>
              <w:spacing w:after="0"/>
            </w:pPr>
            <w:r>
              <w:t>1893</w:t>
            </w:r>
          </w:p>
        </w:tc>
        <w:tc>
          <w:tcPr>
            <w:tcW w:w="1660" w:type="dxa"/>
          </w:tcPr>
          <w:p w14:paraId="2D00D6F4" w14:textId="77777777" w:rsidR="00DB174C" w:rsidRDefault="00340D05" w:rsidP="00DB174C">
            <w:pPr>
              <w:spacing w:after="0"/>
            </w:pPr>
            <w:r>
              <w:t>5135</w:t>
            </w:r>
          </w:p>
        </w:tc>
      </w:tr>
      <w:tr w:rsidR="00DB174C" w14:paraId="032117D6" w14:textId="77777777" w:rsidTr="00DB174C">
        <w:tc>
          <w:tcPr>
            <w:tcW w:w="1659" w:type="dxa"/>
          </w:tcPr>
          <w:p w14:paraId="6E669482" w14:textId="77777777" w:rsidR="00DB174C" w:rsidRDefault="00DB174C" w:rsidP="00DB174C">
            <w:pPr>
              <w:spacing w:after="0"/>
            </w:pPr>
            <w:r>
              <w:t>2018</w:t>
            </w:r>
          </w:p>
        </w:tc>
        <w:tc>
          <w:tcPr>
            <w:tcW w:w="1659" w:type="dxa"/>
          </w:tcPr>
          <w:p w14:paraId="705C42B9" w14:textId="77777777" w:rsidR="00DB174C" w:rsidRDefault="00340D05" w:rsidP="00DB174C">
            <w:pPr>
              <w:spacing w:after="0"/>
            </w:pPr>
            <w:r>
              <w:t>68</w:t>
            </w:r>
          </w:p>
        </w:tc>
        <w:tc>
          <w:tcPr>
            <w:tcW w:w="1659" w:type="dxa"/>
          </w:tcPr>
          <w:p w14:paraId="1E78AB05" w14:textId="77777777" w:rsidR="00DB174C" w:rsidRDefault="00340D05" w:rsidP="00DB174C">
            <w:pPr>
              <w:spacing w:after="0"/>
            </w:pPr>
            <w:r>
              <w:t>3808</w:t>
            </w:r>
          </w:p>
        </w:tc>
        <w:tc>
          <w:tcPr>
            <w:tcW w:w="1659" w:type="dxa"/>
          </w:tcPr>
          <w:p w14:paraId="1645A361" w14:textId="77777777" w:rsidR="00DB174C" w:rsidRDefault="00340D05" w:rsidP="00DB174C">
            <w:pPr>
              <w:spacing w:after="0"/>
            </w:pPr>
            <w:r>
              <w:t>1994</w:t>
            </w:r>
          </w:p>
        </w:tc>
        <w:tc>
          <w:tcPr>
            <w:tcW w:w="1660" w:type="dxa"/>
          </w:tcPr>
          <w:p w14:paraId="08997B6F" w14:textId="77777777" w:rsidR="00DB174C" w:rsidRDefault="00340D05" w:rsidP="00DB174C">
            <w:pPr>
              <w:spacing w:after="0"/>
            </w:pPr>
            <w:r>
              <w:t>5870</w:t>
            </w:r>
          </w:p>
        </w:tc>
      </w:tr>
      <w:tr w:rsidR="00DB174C" w14:paraId="3B8EE5BF" w14:textId="77777777" w:rsidTr="00DB174C">
        <w:tc>
          <w:tcPr>
            <w:tcW w:w="1659" w:type="dxa"/>
          </w:tcPr>
          <w:p w14:paraId="279C1D4C" w14:textId="77777777" w:rsidR="00DB174C" w:rsidRDefault="00DB174C" w:rsidP="00DB174C">
            <w:pPr>
              <w:spacing w:after="0"/>
            </w:pPr>
            <w:r>
              <w:t>2019</w:t>
            </w:r>
          </w:p>
        </w:tc>
        <w:tc>
          <w:tcPr>
            <w:tcW w:w="1659" w:type="dxa"/>
          </w:tcPr>
          <w:p w14:paraId="2B1CBB10" w14:textId="77777777" w:rsidR="00DB174C" w:rsidRDefault="00340D05" w:rsidP="00DB174C">
            <w:pPr>
              <w:spacing w:after="0"/>
            </w:pPr>
            <w:r>
              <w:t>68</w:t>
            </w:r>
          </w:p>
        </w:tc>
        <w:tc>
          <w:tcPr>
            <w:tcW w:w="1659" w:type="dxa"/>
          </w:tcPr>
          <w:p w14:paraId="0841261D" w14:textId="77777777" w:rsidR="00DB174C" w:rsidRDefault="00340D05" w:rsidP="00DB174C">
            <w:pPr>
              <w:spacing w:after="0"/>
            </w:pPr>
            <w:r>
              <w:t>3943</w:t>
            </w:r>
          </w:p>
        </w:tc>
        <w:tc>
          <w:tcPr>
            <w:tcW w:w="1659" w:type="dxa"/>
          </w:tcPr>
          <w:p w14:paraId="465FDD15" w14:textId="77777777" w:rsidR="00DB174C" w:rsidRDefault="00340D05" w:rsidP="00DB174C">
            <w:pPr>
              <w:spacing w:after="0"/>
            </w:pPr>
            <w:r>
              <w:t>1628</w:t>
            </w:r>
          </w:p>
        </w:tc>
        <w:tc>
          <w:tcPr>
            <w:tcW w:w="1660" w:type="dxa"/>
          </w:tcPr>
          <w:p w14:paraId="66B15175" w14:textId="77777777" w:rsidR="00DB174C" w:rsidRDefault="00340D05" w:rsidP="00DB174C">
            <w:pPr>
              <w:spacing w:after="0"/>
            </w:pPr>
            <w:r>
              <w:t>5639</w:t>
            </w:r>
          </w:p>
        </w:tc>
      </w:tr>
    </w:tbl>
    <w:p w14:paraId="7410ADF8" w14:textId="77777777" w:rsidR="00653B8B" w:rsidRDefault="00653B8B" w:rsidP="003B5153"/>
    <w:p w14:paraId="3EEEFE47" w14:textId="77777777" w:rsidR="00245F51" w:rsidRDefault="00245F51" w:rsidP="003B5153"/>
    <w:p w14:paraId="719DB4F1" w14:textId="6E8541E8" w:rsidR="003D64B1" w:rsidRPr="00847FD3" w:rsidRDefault="00486248" w:rsidP="00847FD3">
      <w:pPr>
        <w:pStyle w:val="Heading3"/>
        <w:rPr>
          <w:rFonts w:asciiTheme="minorHAnsi" w:hAnsiTheme="minorHAnsi" w:cstheme="minorHAnsi"/>
          <w:b/>
          <w:i/>
          <w:iCs/>
          <w:sz w:val="28"/>
          <w:szCs w:val="28"/>
        </w:rPr>
      </w:pPr>
      <w:bookmarkStart w:id="47" w:name="_Toc72840900"/>
      <w:r>
        <w:rPr>
          <w:rFonts w:asciiTheme="minorHAnsi" w:hAnsiTheme="minorHAnsi" w:cstheme="minorHAnsi"/>
          <w:b/>
          <w:i/>
          <w:sz w:val="28"/>
          <w:szCs w:val="28"/>
        </w:rPr>
        <w:t>2.4</w:t>
      </w:r>
      <w:r w:rsidR="008819BE" w:rsidRPr="00847FD3">
        <w:rPr>
          <w:rFonts w:asciiTheme="minorHAnsi" w:hAnsiTheme="minorHAnsi" w:cstheme="minorHAnsi"/>
          <w:b/>
          <w:i/>
          <w:sz w:val="28"/>
          <w:szCs w:val="28"/>
        </w:rPr>
        <w:t xml:space="preserve">.5 </w:t>
      </w:r>
      <w:r w:rsidR="00FD579A" w:rsidRPr="00847FD3">
        <w:rPr>
          <w:rFonts w:asciiTheme="minorHAnsi" w:hAnsiTheme="minorHAnsi" w:cstheme="minorHAnsi"/>
          <w:b/>
          <w:i/>
          <w:sz w:val="28"/>
          <w:szCs w:val="28"/>
        </w:rPr>
        <w:t>Prevalence of smoking in Australia in the general and specific populations</w:t>
      </w:r>
      <w:bookmarkEnd w:id="47"/>
      <w:r w:rsidR="00FD579A" w:rsidRPr="00847FD3">
        <w:rPr>
          <w:rFonts w:asciiTheme="minorHAnsi" w:hAnsiTheme="minorHAnsi" w:cstheme="minorHAnsi"/>
          <w:b/>
          <w:i/>
          <w:sz w:val="28"/>
          <w:szCs w:val="28"/>
        </w:rPr>
        <w:t xml:space="preserve"> </w:t>
      </w:r>
    </w:p>
    <w:p w14:paraId="4A3388DF" w14:textId="77777777" w:rsidR="00356C1C" w:rsidRPr="00DC5084" w:rsidRDefault="00356C1C" w:rsidP="00356C1C">
      <w:pPr>
        <w:rPr>
          <w:b/>
          <w:bCs/>
        </w:rPr>
      </w:pPr>
      <w:r w:rsidRPr="00DC5084">
        <w:rPr>
          <w:b/>
          <w:bCs/>
        </w:rPr>
        <w:t xml:space="preserve">Prevalence of current smokers in Australia </w:t>
      </w:r>
    </w:p>
    <w:p w14:paraId="3616AEA6" w14:textId="7C949A36" w:rsidR="00356C1C" w:rsidRDefault="00356C1C" w:rsidP="00356C1C">
      <w:r w:rsidRPr="00DC5084">
        <w:t>The Australian Institute of Health and Welfare, National Drug Strategy Household Survey 2019</w:t>
      </w:r>
      <w:r w:rsidR="007B4C63" w:rsidRPr="00DC5084">
        <w:t xml:space="preserve"> [1</w:t>
      </w:r>
      <w:r w:rsidR="00A4095B">
        <w:t>7</w:t>
      </w:r>
      <w:r w:rsidR="007B4C63" w:rsidRPr="00DC5084">
        <w:t>]</w:t>
      </w:r>
      <w:r w:rsidRPr="00DC5084">
        <w:t xml:space="preserve"> reports </w:t>
      </w:r>
      <w:r w:rsidR="00FA644B">
        <w:t xml:space="preserve">the </w:t>
      </w:r>
      <w:r w:rsidR="00292532">
        <w:t>number of people aged 14</w:t>
      </w:r>
      <w:r w:rsidRPr="00DC5084">
        <w:t xml:space="preserve"> </w:t>
      </w:r>
      <w:r w:rsidR="00AA2FA7">
        <w:t xml:space="preserve">years </w:t>
      </w:r>
      <w:r w:rsidRPr="00DC5084">
        <w:t xml:space="preserve">and over who are current smokers. </w:t>
      </w:r>
      <w:r w:rsidR="004E771B" w:rsidRPr="00DC5084">
        <w:t>P</w:t>
      </w:r>
      <w:r w:rsidRPr="00DC5084">
        <w:t xml:space="preserve">eople </w:t>
      </w:r>
      <w:r w:rsidR="004E771B" w:rsidRPr="00DC5084">
        <w:t xml:space="preserve">who </w:t>
      </w:r>
      <w:r w:rsidRPr="00DC5084">
        <w:t>smoke daily</w:t>
      </w:r>
      <w:r w:rsidR="004E771B" w:rsidRPr="00DC5084">
        <w:t xml:space="preserve"> or less often are considered current smokers.</w:t>
      </w:r>
      <w:r w:rsidR="007918FA">
        <w:t xml:space="preserve"> </w:t>
      </w:r>
      <w:r w:rsidRPr="00DC5084">
        <w:t>Figure 2</w:t>
      </w:r>
      <w:r w:rsidR="007D3ED1">
        <w:t>1</w:t>
      </w:r>
      <w:r w:rsidRPr="00DC5084">
        <w:t xml:space="preserve"> shows that the number of current smokers </w:t>
      </w:r>
      <w:r w:rsidR="00F37448">
        <w:t>aged 14</w:t>
      </w:r>
      <w:r w:rsidR="00BE2618">
        <w:t xml:space="preserve"> years and over </w:t>
      </w:r>
      <w:r w:rsidR="00F37448">
        <w:t>decreased from 3.6</w:t>
      </w:r>
      <w:r w:rsidRPr="00DC5084">
        <w:t xml:space="preserve"> million in 2001 to 2.9 million in 2019. </w:t>
      </w:r>
      <w:r w:rsidR="001B6CE5" w:rsidRPr="00DC5084">
        <w:t>M</w:t>
      </w:r>
      <w:r w:rsidR="00AA2FA7">
        <w:t>e</w:t>
      </w:r>
      <w:r w:rsidR="001B6CE5" w:rsidRPr="00DC5084">
        <w:t>n</w:t>
      </w:r>
      <w:r w:rsidRPr="00DC5084">
        <w:t xml:space="preserve"> </w:t>
      </w:r>
      <w:r w:rsidR="001B6CE5" w:rsidRPr="00DC5084">
        <w:t>are more likely to be</w:t>
      </w:r>
      <w:r w:rsidRPr="00DC5084">
        <w:t xml:space="preserve"> current smokers than </w:t>
      </w:r>
      <w:r w:rsidR="001B6CE5" w:rsidRPr="00DC5084">
        <w:t>women</w:t>
      </w:r>
      <w:r w:rsidRPr="00DC5084">
        <w:t xml:space="preserve"> with the numbers being 1.6 million and 1.3 million in 2019, respectively. </w:t>
      </w:r>
    </w:p>
    <w:p w14:paraId="1F36F5C4" w14:textId="77777777" w:rsidR="00356C1C" w:rsidRDefault="00356C1C" w:rsidP="00356C1C">
      <w:pPr>
        <w:rPr>
          <w:sz w:val="22"/>
          <w:szCs w:val="22"/>
        </w:rPr>
      </w:pPr>
      <w:r>
        <w:rPr>
          <w:noProof/>
        </w:rPr>
        <w:drawing>
          <wp:inline distT="0" distB="0" distL="0" distR="0" wp14:anchorId="59295BA3" wp14:editId="22AD73F4">
            <wp:extent cx="4961255" cy="2676525"/>
            <wp:effectExtent l="0" t="0" r="10795" b="9525"/>
            <wp:docPr id="1" name="Chart 1">
              <a:extLst xmlns:a="http://schemas.openxmlformats.org/drawingml/2006/main">
                <a:ext uri="{FF2B5EF4-FFF2-40B4-BE49-F238E27FC236}">
                  <a16:creationId xmlns:a16="http://schemas.microsoft.com/office/drawing/2014/main" id="{DF756A46-85EA-411A-852D-547747E2F5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A7F236B" w14:textId="62D92EF2" w:rsidR="00356C1C" w:rsidRDefault="00356C1C" w:rsidP="00356C1C">
      <w:r w:rsidRPr="00DC5084">
        <w:rPr>
          <w:b/>
          <w:bCs/>
        </w:rPr>
        <w:t xml:space="preserve">Figure </w:t>
      </w:r>
      <w:r w:rsidR="007D3ED1">
        <w:rPr>
          <w:b/>
          <w:bCs/>
        </w:rPr>
        <w:t>21</w:t>
      </w:r>
      <w:r w:rsidRPr="00DC5084">
        <w:rPr>
          <w:b/>
          <w:bCs/>
        </w:rPr>
        <w:t>.</w:t>
      </w:r>
      <w:r w:rsidRPr="00DC5084">
        <w:t xml:space="preserve"> N</w:t>
      </w:r>
      <w:r w:rsidR="00F37448">
        <w:t>umber of current smokers aged 14</w:t>
      </w:r>
      <w:r w:rsidRPr="00DC5084">
        <w:t>+, total number and by gender</w:t>
      </w:r>
    </w:p>
    <w:p w14:paraId="1A7E70BA" w14:textId="4383B576" w:rsidR="00AA2FA7" w:rsidRDefault="007D3ED1" w:rsidP="00AA2FA7">
      <w:r>
        <w:t>Figure 22</w:t>
      </w:r>
      <w:r w:rsidR="00AA2FA7" w:rsidRPr="00DC5084">
        <w:t xml:space="preserve"> presents the rates of current smokers who are aged 18 </w:t>
      </w:r>
      <w:r w:rsidR="007918FA">
        <w:t xml:space="preserve">years </w:t>
      </w:r>
      <w:r w:rsidR="00AA2FA7" w:rsidRPr="00DC5084">
        <w:t>and over from the overall population aged 18+ in Australia based on the National Drug Strategy Household survey 2019 [1</w:t>
      </w:r>
      <w:r w:rsidR="00AA2FA7">
        <w:t>7</w:t>
      </w:r>
      <w:r w:rsidR="00AA2FA7" w:rsidRPr="00DC5084">
        <w:t>]. The overall rate declined from 23.8% in 2001 to 14.7% in 2019. The rates for both m</w:t>
      </w:r>
      <w:r w:rsidR="007918FA">
        <w:t>e</w:t>
      </w:r>
      <w:r w:rsidR="00AA2FA7" w:rsidRPr="00DC5084">
        <w:t>n and women declined across the years, with 16.6% of all men and 12.8% of all women aged 18+ being current smokers in 2019.</w:t>
      </w:r>
    </w:p>
    <w:p w14:paraId="7FB75387" w14:textId="77777777" w:rsidR="00721E95" w:rsidRPr="00DC5084" w:rsidRDefault="00721E95" w:rsidP="00AA2FA7"/>
    <w:p w14:paraId="370C5895" w14:textId="77777777" w:rsidR="00356C1C" w:rsidRDefault="00DF6F9E" w:rsidP="00356C1C">
      <w:pPr>
        <w:rPr>
          <w:sz w:val="22"/>
          <w:szCs w:val="22"/>
        </w:rPr>
      </w:pPr>
      <w:r>
        <w:rPr>
          <w:noProof/>
        </w:rPr>
        <w:drawing>
          <wp:inline distT="0" distB="0" distL="0" distR="0" wp14:anchorId="73461527" wp14:editId="62A67E3D">
            <wp:extent cx="5238750" cy="3048000"/>
            <wp:effectExtent l="0" t="0" r="0" b="0"/>
            <wp:docPr id="2" name="Chart 2">
              <a:extLst xmlns:a="http://schemas.openxmlformats.org/drawingml/2006/main">
                <a:ext uri="{FF2B5EF4-FFF2-40B4-BE49-F238E27FC236}">
                  <a16:creationId xmlns:a16="http://schemas.microsoft.com/office/drawing/2014/main" id="{B06C6CA3-F8A8-400B-A59C-C863E837EC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FAF0D64" w14:textId="6DE277F9" w:rsidR="00DF6F9E" w:rsidRDefault="007D3ED1" w:rsidP="00356C1C">
      <w:r>
        <w:rPr>
          <w:b/>
          <w:bCs/>
        </w:rPr>
        <w:t>Figure 22</w:t>
      </w:r>
      <w:r w:rsidR="00DF6F9E" w:rsidRPr="00DC5084">
        <w:rPr>
          <w:b/>
          <w:bCs/>
        </w:rPr>
        <w:t>.</w:t>
      </w:r>
      <w:r w:rsidR="00DF6F9E" w:rsidRPr="00DC5084">
        <w:t xml:space="preserve"> Prevalence of current smokers in Australia aged 18+ from all Australians aged 18+ and by gender</w:t>
      </w:r>
    </w:p>
    <w:p w14:paraId="29A19730" w14:textId="47C63E03" w:rsidR="00AA2FA7" w:rsidRPr="00DC5084" w:rsidRDefault="007D3ED1" w:rsidP="00AA2FA7">
      <w:r>
        <w:t>Figure 23</w:t>
      </w:r>
      <w:r w:rsidR="00AA2FA7" w:rsidRPr="00DC5084">
        <w:t xml:space="preserve"> shows the rates of current smokers aged 14+ in 2019 by state and territory. The rates were highest in Northern Territory and lowest in ACT. The reported rates are based on the National Drug Strategy Household survey 2019 [1</w:t>
      </w:r>
      <w:r w:rsidR="00AA2FA7">
        <w:t>7</w:t>
      </w:r>
      <w:r w:rsidR="00AA2FA7" w:rsidRPr="00DC5084">
        <w:t>].</w:t>
      </w:r>
    </w:p>
    <w:p w14:paraId="3731C89B" w14:textId="77777777" w:rsidR="00DF6F9E" w:rsidRDefault="007B4C63" w:rsidP="00356C1C">
      <w:pPr>
        <w:rPr>
          <w:sz w:val="22"/>
          <w:szCs w:val="22"/>
        </w:rPr>
      </w:pPr>
      <w:r>
        <w:rPr>
          <w:noProof/>
        </w:rPr>
        <w:drawing>
          <wp:inline distT="0" distB="0" distL="0" distR="0" wp14:anchorId="2845DAC7" wp14:editId="1AE6DE5C">
            <wp:extent cx="5200650" cy="3105150"/>
            <wp:effectExtent l="0" t="0" r="0" b="0"/>
            <wp:docPr id="4" name="Chart 4">
              <a:extLst xmlns:a="http://schemas.openxmlformats.org/drawingml/2006/main">
                <a:ext uri="{FF2B5EF4-FFF2-40B4-BE49-F238E27FC236}">
                  <a16:creationId xmlns:a16="http://schemas.microsoft.com/office/drawing/2014/main" id="{B101319C-40EC-496C-895E-74F92803B6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BE9B6AE" w14:textId="51D360B1" w:rsidR="0022014A" w:rsidRPr="00DC5084" w:rsidRDefault="007D3ED1" w:rsidP="00356C1C">
      <w:r>
        <w:rPr>
          <w:b/>
          <w:bCs/>
        </w:rPr>
        <w:t>Figure 23</w:t>
      </w:r>
      <w:r w:rsidR="0022014A" w:rsidRPr="00DC5084">
        <w:rPr>
          <w:b/>
          <w:bCs/>
        </w:rPr>
        <w:t>.</w:t>
      </w:r>
      <w:r w:rsidR="0022014A" w:rsidRPr="00DC5084">
        <w:t xml:space="preserve"> Prevalence of current smokers </w:t>
      </w:r>
      <w:r w:rsidR="007B4C63" w:rsidRPr="00DC5084">
        <w:t xml:space="preserve">aged 14+ </w:t>
      </w:r>
      <w:r w:rsidR="0022014A" w:rsidRPr="00DC5084">
        <w:t>in 2019, by state and territory</w:t>
      </w:r>
    </w:p>
    <w:p w14:paraId="2011F8EB" w14:textId="77777777" w:rsidR="00452FA2" w:rsidRDefault="00452FA2">
      <w:pPr>
        <w:spacing w:after="0"/>
        <w:rPr>
          <w:b/>
          <w:bCs/>
        </w:rPr>
      </w:pPr>
      <w:r>
        <w:rPr>
          <w:b/>
          <w:bCs/>
        </w:rPr>
        <w:br w:type="page"/>
      </w:r>
    </w:p>
    <w:p w14:paraId="6C8722B0" w14:textId="77777777" w:rsidR="0022014A" w:rsidRPr="00DC5084" w:rsidRDefault="0022014A" w:rsidP="0022014A">
      <w:pPr>
        <w:rPr>
          <w:b/>
          <w:bCs/>
        </w:rPr>
      </w:pPr>
      <w:r w:rsidRPr="00DC5084">
        <w:rPr>
          <w:b/>
          <w:bCs/>
        </w:rPr>
        <w:t>P</w:t>
      </w:r>
      <w:r w:rsidR="00356C1C" w:rsidRPr="00DC5084">
        <w:rPr>
          <w:b/>
          <w:bCs/>
        </w:rPr>
        <w:t>revalence of tobacco use among Aboriginal and Torres Islander people</w:t>
      </w:r>
    </w:p>
    <w:p w14:paraId="174AB98B" w14:textId="790249AE" w:rsidR="00356C1C" w:rsidRPr="00DC5084" w:rsidRDefault="00966015" w:rsidP="0022014A">
      <w:r w:rsidRPr="00DC5084">
        <w:t>D</w:t>
      </w:r>
      <w:r w:rsidR="00EE2E2D" w:rsidRPr="00DC5084">
        <w:t xml:space="preserve">ata from </w:t>
      </w:r>
      <w:r w:rsidR="002B1C0E" w:rsidRPr="00DC5084">
        <w:t>the National Aboriginal and Torres Strait Islander Social Survey</w:t>
      </w:r>
      <w:r w:rsidRPr="00DC5084">
        <w:t xml:space="preserve"> 2014-2015 [1</w:t>
      </w:r>
      <w:r w:rsidR="00A4095B">
        <w:t>8</w:t>
      </w:r>
      <w:r w:rsidRPr="00DC5084">
        <w:t>] and the National Aboriginal and Torres Strait Islander Health Survey 2018-2019 [1</w:t>
      </w:r>
      <w:r w:rsidR="00A4095B">
        <w:t>9</w:t>
      </w:r>
      <w:r w:rsidRPr="00DC5084">
        <w:t>] are used to estimate the prevalence of current people aged 15+</w:t>
      </w:r>
      <w:r w:rsidR="007918FA">
        <w:t xml:space="preserve"> who are smokers</w:t>
      </w:r>
      <w:r w:rsidRPr="00DC5084">
        <w:t xml:space="preserve"> by </w:t>
      </w:r>
      <w:r w:rsidR="00171165" w:rsidRPr="00DC5084">
        <w:t xml:space="preserve">Aboriginal and Torres Strait Islander </w:t>
      </w:r>
      <w:r w:rsidRPr="00DC5084">
        <w:t>status (Figure</w:t>
      </w:r>
      <w:r w:rsidR="007D3ED1">
        <w:t xml:space="preserve"> 24</w:t>
      </w:r>
      <w:r w:rsidRPr="00DC5084">
        <w:t xml:space="preserve">). </w:t>
      </w:r>
      <w:r w:rsidR="00EE2E2D" w:rsidRPr="00DC5084">
        <w:t xml:space="preserve"> </w:t>
      </w:r>
      <w:r w:rsidRPr="00DC5084">
        <w:t>The rate of</w:t>
      </w:r>
      <w:r w:rsidR="00CD4F29" w:rsidRPr="00DC5084">
        <w:t xml:space="preserve"> </w:t>
      </w:r>
      <w:r w:rsidR="007918FA" w:rsidRPr="00DC5084">
        <w:t xml:space="preserve">Aboriginal and Torres Strait Islander </w:t>
      </w:r>
      <w:r w:rsidRPr="00DC5084">
        <w:t xml:space="preserve">people who are current smokers declined from 53% in 2001 to 41% in 2019. However, the rates are </w:t>
      </w:r>
      <w:r w:rsidR="00FB72F7">
        <w:t>2.8</w:t>
      </w:r>
      <w:r w:rsidRPr="00DC5084">
        <w:t xml:space="preserve"> </w:t>
      </w:r>
      <w:r w:rsidR="00CD4F29" w:rsidRPr="00DC5084">
        <w:t>times</w:t>
      </w:r>
      <w:r w:rsidRPr="00DC5084">
        <w:t xml:space="preserve"> high</w:t>
      </w:r>
      <w:r w:rsidR="00CD4F29" w:rsidRPr="00DC5084">
        <w:t>er</w:t>
      </w:r>
      <w:r w:rsidRPr="00DC5084">
        <w:t xml:space="preserve"> </w:t>
      </w:r>
      <w:r w:rsidR="00FB72F7">
        <w:t>in comparison to the overall Australian population</w:t>
      </w:r>
      <w:r w:rsidR="00CD4F29" w:rsidRPr="00DC5084">
        <w:t>.</w:t>
      </w:r>
    </w:p>
    <w:p w14:paraId="28BCC9DC" w14:textId="77777777" w:rsidR="0022014A" w:rsidRDefault="00FB72F7" w:rsidP="0022014A">
      <w:pPr>
        <w:rPr>
          <w:sz w:val="22"/>
          <w:szCs w:val="22"/>
        </w:rPr>
      </w:pPr>
      <w:r w:rsidRPr="00FB72F7">
        <w:rPr>
          <w:noProof/>
          <w:shd w:val="clear" w:color="auto" w:fill="FFFFFF" w:themeFill="background1"/>
        </w:rPr>
        <w:drawing>
          <wp:inline distT="0" distB="0" distL="0" distR="0" wp14:anchorId="25ED2FA3" wp14:editId="17494D3E">
            <wp:extent cx="5133975" cy="2286000"/>
            <wp:effectExtent l="0" t="0" r="9525" b="0"/>
            <wp:docPr id="9" name="Chart 9">
              <a:extLst xmlns:a="http://schemas.openxmlformats.org/drawingml/2006/main">
                <a:ext uri="{FF2B5EF4-FFF2-40B4-BE49-F238E27FC236}">
                  <a16:creationId xmlns:a16="http://schemas.microsoft.com/office/drawing/2014/main" id="{F9B5787F-2721-4156-84A2-550F20AF7A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D98D7E2" w14:textId="5A54F541" w:rsidR="00EE2E2D" w:rsidRPr="00DC5084" w:rsidRDefault="007D3ED1" w:rsidP="0022014A">
      <w:r>
        <w:rPr>
          <w:b/>
          <w:bCs/>
        </w:rPr>
        <w:t>Figure 24</w:t>
      </w:r>
      <w:r w:rsidR="00EE2E2D" w:rsidRPr="00DC5084">
        <w:rPr>
          <w:b/>
          <w:bCs/>
        </w:rPr>
        <w:t>.</w:t>
      </w:r>
      <w:r w:rsidR="00EE2E2D" w:rsidRPr="00DC5084">
        <w:t xml:space="preserve"> Prevalence of current smokers aged 15+ among Aboriginal and Torres Strait Islander and non-</w:t>
      </w:r>
      <w:r w:rsidR="00E424AB">
        <w:t>I</w:t>
      </w:r>
      <w:r w:rsidR="007918FA" w:rsidRPr="00DC5084">
        <w:t xml:space="preserve">ndigenous </w:t>
      </w:r>
      <w:r w:rsidR="00EE2E2D" w:rsidRPr="00DC5084">
        <w:t>persons.</w:t>
      </w:r>
    </w:p>
    <w:p w14:paraId="1B9EE693" w14:textId="472343C7" w:rsidR="007918FA" w:rsidRPr="00DC5084" w:rsidRDefault="007D3ED1" w:rsidP="007918FA">
      <w:r>
        <w:t>Figure 25</w:t>
      </w:r>
      <w:r w:rsidR="007918FA" w:rsidRPr="00DC5084">
        <w:t xml:space="preserve"> present the rates of current smokers </w:t>
      </w:r>
      <w:r w:rsidR="007918FA">
        <w:t>among</w:t>
      </w:r>
      <w:r w:rsidR="007918FA" w:rsidRPr="00DC5084">
        <w:t xml:space="preserve"> Aboriginal and Torres Strait Islander people aged 18+ in 2019 by state and territories. Rates vary from 25% in ACT to 58% in NT. </w:t>
      </w:r>
    </w:p>
    <w:p w14:paraId="3A00576A" w14:textId="77777777" w:rsidR="004E771B" w:rsidRDefault="00B01A49" w:rsidP="0022014A">
      <w:pPr>
        <w:rPr>
          <w:sz w:val="22"/>
          <w:szCs w:val="22"/>
        </w:rPr>
      </w:pPr>
      <w:r>
        <w:rPr>
          <w:noProof/>
        </w:rPr>
        <w:drawing>
          <wp:inline distT="0" distB="0" distL="0" distR="0" wp14:anchorId="722512DF" wp14:editId="1351DC91">
            <wp:extent cx="5076825" cy="2743200"/>
            <wp:effectExtent l="0" t="0" r="9525" b="0"/>
            <wp:docPr id="6" name="Chart 6">
              <a:extLst xmlns:a="http://schemas.openxmlformats.org/drawingml/2006/main">
                <a:ext uri="{FF2B5EF4-FFF2-40B4-BE49-F238E27FC236}">
                  <a16:creationId xmlns:a16="http://schemas.microsoft.com/office/drawing/2014/main" id="{26C26B1B-D847-4A0E-97EB-BF1ED3D166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A265852" w14:textId="7049C3CA" w:rsidR="00B01A49" w:rsidRPr="00DC5084" w:rsidRDefault="00B01A49" w:rsidP="0022014A">
      <w:r w:rsidRPr="00DC5084">
        <w:rPr>
          <w:b/>
          <w:bCs/>
        </w:rPr>
        <w:t>Figure 2</w:t>
      </w:r>
      <w:r w:rsidR="007D3ED1">
        <w:rPr>
          <w:b/>
          <w:bCs/>
        </w:rPr>
        <w:t>5</w:t>
      </w:r>
      <w:r w:rsidRPr="00DC5084">
        <w:t>. Prevalence of current smokers aged 18+ among Aboriginal and Torres Strait Islander people, by state and territory, 2019</w:t>
      </w:r>
    </w:p>
    <w:p w14:paraId="6C172152" w14:textId="77777777" w:rsidR="00E46AB2" w:rsidRDefault="00E46AB2">
      <w:pPr>
        <w:spacing w:after="0"/>
        <w:rPr>
          <w:b/>
          <w:bCs/>
        </w:rPr>
      </w:pPr>
    </w:p>
    <w:p w14:paraId="4E663755" w14:textId="77777777" w:rsidR="00E45C9F" w:rsidRDefault="00E45C9F">
      <w:pPr>
        <w:spacing w:after="0"/>
        <w:rPr>
          <w:b/>
          <w:bCs/>
        </w:rPr>
      </w:pPr>
    </w:p>
    <w:p w14:paraId="42658B20" w14:textId="77777777" w:rsidR="00F94983" w:rsidRPr="00DC5084" w:rsidRDefault="004E771B" w:rsidP="004E771B">
      <w:pPr>
        <w:rPr>
          <w:b/>
          <w:bCs/>
        </w:rPr>
      </w:pPr>
      <w:r w:rsidRPr="00DC5084">
        <w:rPr>
          <w:b/>
          <w:bCs/>
        </w:rPr>
        <w:t>P</w:t>
      </w:r>
      <w:r w:rsidR="00356C1C" w:rsidRPr="00DC5084">
        <w:rPr>
          <w:b/>
          <w:bCs/>
        </w:rPr>
        <w:t xml:space="preserve">revalence of smoking in the first 20 weeks of </w:t>
      </w:r>
      <w:r w:rsidR="007918FA">
        <w:rPr>
          <w:b/>
          <w:bCs/>
        </w:rPr>
        <w:t xml:space="preserve">pregnancy among </w:t>
      </w:r>
      <w:r w:rsidR="00356C1C" w:rsidRPr="00DC5084">
        <w:rPr>
          <w:b/>
          <w:bCs/>
        </w:rPr>
        <w:t xml:space="preserve">women who gave birth </w:t>
      </w:r>
    </w:p>
    <w:p w14:paraId="4C971CE5" w14:textId="6E3EB146" w:rsidR="00F94983" w:rsidRPr="00DC5084" w:rsidRDefault="00F94983" w:rsidP="00F94983">
      <w:pPr>
        <w:spacing w:after="0"/>
      </w:pPr>
      <w:r w:rsidRPr="00DC5084">
        <w:t>D</w:t>
      </w:r>
      <w:r w:rsidR="00791C7F" w:rsidRPr="00DC5084">
        <w:t xml:space="preserve">ata from the </w:t>
      </w:r>
      <w:r w:rsidR="00356C1C" w:rsidRPr="00DC5084">
        <w:t>Australian Institute of Health and Welfare</w:t>
      </w:r>
      <w:r w:rsidR="00791C7F" w:rsidRPr="00DC5084">
        <w:t xml:space="preserve"> reports on </w:t>
      </w:r>
      <w:r w:rsidR="00356C1C" w:rsidRPr="00DC5084">
        <w:t>Australia’s mother</w:t>
      </w:r>
      <w:r w:rsidR="00791C7F" w:rsidRPr="00DC5084">
        <w:t>s</w:t>
      </w:r>
      <w:r w:rsidR="00356C1C" w:rsidRPr="00DC5084">
        <w:t xml:space="preserve"> and babies </w:t>
      </w:r>
      <w:r w:rsidRPr="00DC5084">
        <w:t xml:space="preserve">key statistics and trends </w:t>
      </w:r>
      <w:r w:rsidR="00791C7F" w:rsidRPr="00DC5084">
        <w:t>[</w:t>
      </w:r>
      <w:r w:rsidR="00A4095B">
        <w:t>20</w:t>
      </w:r>
      <w:r w:rsidR="00791C7F" w:rsidRPr="00DC5084">
        <w:t>,</w:t>
      </w:r>
      <w:r w:rsidRPr="00DC5084">
        <w:t xml:space="preserve"> </w:t>
      </w:r>
      <w:r w:rsidR="00791C7F" w:rsidRPr="00DC5084">
        <w:t>2</w:t>
      </w:r>
      <w:r w:rsidR="00A4095B">
        <w:t>1</w:t>
      </w:r>
      <w:r w:rsidR="00791C7F" w:rsidRPr="00DC5084">
        <w:t>]</w:t>
      </w:r>
      <w:r w:rsidRPr="00DC5084">
        <w:t xml:space="preserve"> </w:t>
      </w:r>
      <w:r w:rsidR="007918FA">
        <w:t xml:space="preserve">and </w:t>
      </w:r>
      <w:r w:rsidRPr="00DC5084">
        <w:t>show</w:t>
      </w:r>
      <w:r w:rsidR="007918FA">
        <w:t>s</w:t>
      </w:r>
      <w:r w:rsidRPr="00DC5084">
        <w:t xml:space="preserve"> that the percent of women who smoked in the first 20 wee</w:t>
      </w:r>
      <w:r w:rsidR="005C1BD0">
        <w:t>ks of pregnancy declined from 12.9</w:t>
      </w:r>
      <w:r w:rsidRPr="00DC5084">
        <w:t>% in 2011 to 9</w:t>
      </w:r>
      <w:r w:rsidR="005C1BD0">
        <w:t>.2</w:t>
      </w:r>
      <w:r w:rsidR="007D3ED1">
        <w:t>% in 2018 (Figure 26</w:t>
      </w:r>
      <w:r w:rsidRPr="00DC5084">
        <w:t>)</w:t>
      </w:r>
    </w:p>
    <w:p w14:paraId="5C3C67F6" w14:textId="77777777" w:rsidR="00F94983" w:rsidRPr="00DC5084" w:rsidRDefault="00F94983" w:rsidP="00F94983">
      <w:pPr>
        <w:spacing w:after="0"/>
      </w:pPr>
    </w:p>
    <w:p w14:paraId="146D425A" w14:textId="77777777" w:rsidR="00F94983" w:rsidRDefault="00F94983" w:rsidP="004E771B">
      <w:pPr>
        <w:rPr>
          <w:b/>
          <w:bCs/>
          <w:sz w:val="22"/>
          <w:szCs w:val="22"/>
        </w:rPr>
      </w:pPr>
      <w:r>
        <w:rPr>
          <w:noProof/>
        </w:rPr>
        <w:drawing>
          <wp:inline distT="0" distB="0" distL="0" distR="0" wp14:anchorId="46875B5A" wp14:editId="51C859C5">
            <wp:extent cx="4572000" cy="2504661"/>
            <wp:effectExtent l="0" t="0" r="0" b="10160"/>
            <wp:docPr id="7" name="Chart 7">
              <a:extLst xmlns:a="http://schemas.openxmlformats.org/drawingml/2006/main">
                <a:ext uri="{FF2B5EF4-FFF2-40B4-BE49-F238E27FC236}">
                  <a16:creationId xmlns:a16="http://schemas.microsoft.com/office/drawing/2014/main" id="{61C59188-A7D2-44D6-ACF2-211B8C54DB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E974572" w14:textId="07F2989F" w:rsidR="00F94983" w:rsidRDefault="007D3ED1" w:rsidP="004E771B">
      <w:r>
        <w:rPr>
          <w:b/>
          <w:bCs/>
        </w:rPr>
        <w:t>Figure 26</w:t>
      </w:r>
      <w:r w:rsidR="00F94983" w:rsidRPr="00DC5084">
        <w:rPr>
          <w:b/>
          <w:bCs/>
        </w:rPr>
        <w:t xml:space="preserve">. </w:t>
      </w:r>
      <w:r w:rsidR="00F94983" w:rsidRPr="00DC5084">
        <w:t xml:space="preserve">Smoking in the first 20 weeks of </w:t>
      </w:r>
      <w:r w:rsidR="007918FA">
        <w:t xml:space="preserve">pregnancy among </w:t>
      </w:r>
      <w:r w:rsidR="00F94983" w:rsidRPr="00DC5084">
        <w:t xml:space="preserve">all women who gave birth </w:t>
      </w:r>
    </w:p>
    <w:p w14:paraId="4C4FFC95" w14:textId="77777777" w:rsidR="007918FA" w:rsidRDefault="007918FA">
      <w:pPr>
        <w:spacing w:after="0"/>
      </w:pPr>
    </w:p>
    <w:p w14:paraId="3399B5A0" w14:textId="3012F060" w:rsidR="007918FA" w:rsidRPr="00DC5084" w:rsidRDefault="007D3ED1" w:rsidP="007918FA">
      <w:r>
        <w:t>Figure 27</w:t>
      </w:r>
      <w:r w:rsidR="007918FA" w:rsidRPr="00DC5084">
        <w:t xml:space="preserve"> shows that in 2018, the rates of pregnant women who smoked in the first 20 weeks was highest in NT (21%) and lowest in ACT (6%). </w:t>
      </w:r>
    </w:p>
    <w:p w14:paraId="2AD97845" w14:textId="77777777" w:rsidR="0022178F" w:rsidRDefault="0022178F" w:rsidP="004E771B">
      <w:pPr>
        <w:rPr>
          <w:sz w:val="22"/>
          <w:szCs w:val="22"/>
        </w:rPr>
      </w:pPr>
      <w:r>
        <w:rPr>
          <w:noProof/>
        </w:rPr>
        <w:drawing>
          <wp:inline distT="0" distB="0" distL="0" distR="0" wp14:anchorId="0E28BEC0" wp14:editId="4C2A799B">
            <wp:extent cx="4572000" cy="3105150"/>
            <wp:effectExtent l="0" t="0" r="0" b="0"/>
            <wp:docPr id="8" name="Chart 8">
              <a:extLst xmlns:a="http://schemas.openxmlformats.org/drawingml/2006/main">
                <a:ext uri="{FF2B5EF4-FFF2-40B4-BE49-F238E27FC236}">
                  <a16:creationId xmlns:a16="http://schemas.microsoft.com/office/drawing/2014/main" id="{138FB6C9-6A2C-4034-AF1E-2BA6CC18B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3E7AAEE" w14:textId="5A134E90" w:rsidR="0022178F" w:rsidRPr="00DC5084" w:rsidRDefault="007D3ED1" w:rsidP="004E771B">
      <w:r>
        <w:rPr>
          <w:b/>
          <w:bCs/>
        </w:rPr>
        <w:t>Figure 27</w:t>
      </w:r>
      <w:r w:rsidR="0022178F" w:rsidRPr="00DC5084">
        <w:rPr>
          <w:b/>
          <w:bCs/>
        </w:rPr>
        <w:t>.</w:t>
      </w:r>
      <w:r w:rsidR="0022178F" w:rsidRPr="00DC5084">
        <w:t xml:space="preserve"> Smoking in the first 20 weeks of </w:t>
      </w:r>
      <w:r w:rsidR="007918FA">
        <w:t xml:space="preserve">pregnancy among </w:t>
      </w:r>
      <w:r w:rsidR="0022178F" w:rsidRPr="00DC5084">
        <w:t>all women who gave birth, by state and territory, 2018</w:t>
      </w:r>
    </w:p>
    <w:p w14:paraId="199571B0" w14:textId="77777777" w:rsidR="00E46AB2" w:rsidRDefault="00E46AB2">
      <w:pPr>
        <w:spacing w:after="0"/>
        <w:rPr>
          <w:b/>
          <w:bCs/>
        </w:rPr>
      </w:pPr>
    </w:p>
    <w:p w14:paraId="15371EEB" w14:textId="77777777" w:rsidR="00E45C9F" w:rsidRDefault="00E45C9F">
      <w:pPr>
        <w:spacing w:after="0"/>
        <w:rPr>
          <w:b/>
          <w:bCs/>
        </w:rPr>
      </w:pPr>
    </w:p>
    <w:p w14:paraId="7EA9D6C3" w14:textId="77777777" w:rsidR="0022178F" w:rsidRPr="00DC5084" w:rsidRDefault="0022178F" w:rsidP="0022178F">
      <w:pPr>
        <w:rPr>
          <w:b/>
          <w:bCs/>
        </w:rPr>
      </w:pPr>
      <w:r w:rsidRPr="00DC5084">
        <w:rPr>
          <w:b/>
          <w:bCs/>
        </w:rPr>
        <w:t>P</w:t>
      </w:r>
      <w:r w:rsidR="00356C1C" w:rsidRPr="00DC5084">
        <w:rPr>
          <w:b/>
          <w:bCs/>
        </w:rPr>
        <w:t>revalence of current smokers among prison entrants</w:t>
      </w:r>
    </w:p>
    <w:p w14:paraId="54A0FC49" w14:textId="3B25E445" w:rsidR="00922677" w:rsidRPr="00DC5084" w:rsidRDefault="00922677" w:rsidP="007918FA">
      <w:pPr>
        <w:rPr>
          <w:rFonts w:ascii="Calibri" w:eastAsia="Times New Roman" w:hAnsi="Calibri" w:cs="Times New Roman"/>
          <w:color w:val="000000"/>
        </w:rPr>
      </w:pPr>
      <w:r w:rsidRPr="00DC5084">
        <w:t>T</w:t>
      </w:r>
      <w:r w:rsidR="003043FE" w:rsidRPr="00DC5084">
        <w:t xml:space="preserve">he </w:t>
      </w:r>
      <w:r w:rsidR="00356C1C" w:rsidRPr="00DC5084">
        <w:t>Australian Institute of Health and Welfare</w:t>
      </w:r>
      <w:r w:rsidR="003043FE" w:rsidRPr="00DC5084">
        <w:t xml:space="preserve"> report on t</w:t>
      </w:r>
      <w:r w:rsidR="00356C1C" w:rsidRPr="00DC5084">
        <w:t xml:space="preserve">he health of Australia’s prisoners </w:t>
      </w:r>
      <w:r w:rsidR="003043FE" w:rsidRPr="00DC5084">
        <w:t>[2</w:t>
      </w:r>
      <w:r w:rsidR="00A4095B">
        <w:t>2</w:t>
      </w:r>
      <w:r w:rsidR="003043FE" w:rsidRPr="00DC5084">
        <w:t xml:space="preserve">] shows </w:t>
      </w:r>
      <w:r w:rsidRPr="00DC5084">
        <w:t xml:space="preserve">that </w:t>
      </w:r>
      <w:r w:rsidRPr="00DC5084">
        <w:rPr>
          <w:rFonts w:ascii="Calibri" w:eastAsia="Times New Roman" w:hAnsi="Calibri" w:cs="Times New Roman"/>
          <w:color w:val="000000"/>
        </w:rPr>
        <w:t xml:space="preserve">in 2018, at least 75% of </w:t>
      </w:r>
      <w:r w:rsidR="00E424AB">
        <w:rPr>
          <w:rFonts w:ascii="Calibri" w:eastAsia="Times New Roman" w:hAnsi="Calibri" w:cs="Times New Roman"/>
          <w:color w:val="000000"/>
        </w:rPr>
        <w:t>non-I</w:t>
      </w:r>
      <w:r w:rsidR="007918FA" w:rsidRPr="00DC5084">
        <w:rPr>
          <w:rFonts w:ascii="Calibri" w:eastAsia="Times New Roman" w:hAnsi="Calibri" w:cs="Times New Roman"/>
          <w:color w:val="000000"/>
        </w:rPr>
        <w:t>ndigeno</w:t>
      </w:r>
      <w:r w:rsidRPr="00DC5084">
        <w:rPr>
          <w:rFonts w:ascii="Calibri" w:eastAsia="Times New Roman" w:hAnsi="Calibri" w:cs="Times New Roman"/>
          <w:color w:val="000000"/>
        </w:rPr>
        <w:t xml:space="preserve">us prison entrants aged 18-44 </w:t>
      </w:r>
      <w:r w:rsidR="007918FA">
        <w:rPr>
          <w:rFonts w:ascii="Calibri" w:eastAsia="Times New Roman" w:hAnsi="Calibri" w:cs="Times New Roman"/>
          <w:color w:val="000000"/>
        </w:rPr>
        <w:t xml:space="preserve">years </w:t>
      </w:r>
      <w:r w:rsidRPr="00DC5084">
        <w:rPr>
          <w:rFonts w:ascii="Calibri" w:eastAsia="Times New Roman" w:hAnsi="Calibri" w:cs="Times New Roman"/>
          <w:color w:val="000000"/>
        </w:rPr>
        <w:t xml:space="preserve">were current smokers, and at least 79% of </w:t>
      </w:r>
      <w:r w:rsidR="007918FA" w:rsidRPr="00DC5084">
        <w:t>Aboriginal and Torres Strait Islander</w:t>
      </w:r>
      <w:r w:rsidR="007918FA" w:rsidRPr="00DC5084">
        <w:rPr>
          <w:rFonts w:ascii="Calibri" w:eastAsia="Times New Roman" w:hAnsi="Calibri" w:cs="Times New Roman"/>
          <w:color w:val="000000"/>
        </w:rPr>
        <w:t xml:space="preserve"> </w:t>
      </w:r>
      <w:r w:rsidRPr="00DC5084">
        <w:rPr>
          <w:rFonts w:ascii="Calibri" w:eastAsia="Times New Roman" w:hAnsi="Calibri" w:cs="Times New Roman"/>
          <w:color w:val="000000"/>
        </w:rPr>
        <w:t xml:space="preserve">prison entrants aged 18-44 were current smokers. The rates were similar across age groups and between </w:t>
      </w:r>
      <w:r w:rsidR="00171165">
        <w:rPr>
          <w:rFonts w:ascii="Calibri" w:eastAsia="Times New Roman" w:hAnsi="Calibri" w:cs="Times New Roman"/>
          <w:color w:val="000000"/>
        </w:rPr>
        <w:t>Aboriginal and Torres Strait Islander</w:t>
      </w:r>
      <w:r w:rsidR="00171165" w:rsidRPr="00DC5084">
        <w:rPr>
          <w:rFonts w:ascii="Calibri" w:eastAsia="Times New Roman" w:hAnsi="Calibri" w:cs="Times New Roman"/>
          <w:color w:val="000000"/>
        </w:rPr>
        <w:t xml:space="preserve"> </w:t>
      </w:r>
      <w:r w:rsidRPr="00DC5084">
        <w:rPr>
          <w:rFonts w:ascii="Calibri" w:eastAsia="Times New Roman" w:hAnsi="Calibri" w:cs="Times New Roman"/>
          <w:color w:val="000000"/>
        </w:rPr>
        <w:t>and non-</w:t>
      </w:r>
      <w:r w:rsidR="00E424AB">
        <w:rPr>
          <w:rFonts w:ascii="Calibri" w:eastAsia="Times New Roman" w:hAnsi="Calibri" w:cs="Times New Roman"/>
          <w:color w:val="000000"/>
        </w:rPr>
        <w:t>I</w:t>
      </w:r>
      <w:r w:rsidR="007918FA" w:rsidRPr="00DC5084">
        <w:rPr>
          <w:rFonts w:ascii="Calibri" w:eastAsia="Times New Roman" w:hAnsi="Calibri" w:cs="Times New Roman"/>
          <w:color w:val="000000"/>
        </w:rPr>
        <w:t xml:space="preserve">ndigenous </w:t>
      </w:r>
      <w:r w:rsidR="007D3ED1">
        <w:rPr>
          <w:rFonts w:ascii="Calibri" w:eastAsia="Times New Roman" w:hAnsi="Calibri" w:cs="Times New Roman"/>
          <w:color w:val="000000"/>
        </w:rPr>
        <w:t>groups (Figure 28</w:t>
      </w:r>
      <w:r w:rsidRPr="00DC5084">
        <w:rPr>
          <w:rFonts w:ascii="Calibri" w:eastAsia="Times New Roman" w:hAnsi="Calibri" w:cs="Times New Roman"/>
          <w:color w:val="000000"/>
        </w:rPr>
        <w:t>).</w:t>
      </w:r>
    </w:p>
    <w:p w14:paraId="3EFB69B1" w14:textId="77777777" w:rsidR="0022178F" w:rsidRDefault="00ED19EB" w:rsidP="0022178F">
      <w:pPr>
        <w:rPr>
          <w:sz w:val="22"/>
          <w:szCs w:val="22"/>
        </w:rPr>
      </w:pPr>
      <w:r>
        <w:rPr>
          <w:noProof/>
        </w:rPr>
        <w:drawing>
          <wp:inline distT="0" distB="0" distL="0" distR="0" wp14:anchorId="14880F72" wp14:editId="42C53D9D">
            <wp:extent cx="4572000" cy="2743200"/>
            <wp:effectExtent l="0" t="0" r="0" b="0"/>
            <wp:docPr id="19" name="Chart 19">
              <a:extLst xmlns:a="http://schemas.openxmlformats.org/drawingml/2006/main">
                <a:ext uri="{FF2B5EF4-FFF2-40B4-BE49-F238E27FC236}">
                  <a16:creationId xmlns:a16="http://schemas.microsoft.com/office/drawing/2014/main" id="{8B049F80-FAAF-4483-B1DC-91A7ADBA4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E1277BA" w14:textId="1245E433" w:rsidR="00922677" w:rsidRDefault="007D3ED1" w:rsidP="0022178F">
      <w:r>
        <w:rPr>
          <w:b/>
          <w:bCs/>
        </w:rPr>
        <w:t>Figure 28</w:t>
      </w:r>
      <w:r w:rsidR="00922677" w:rsidRPr="00DC5084">
        <w:rPr>
          <w:b/>
          <w:bCs/>
        </w:rPr>
        <w:t>.</w:t>
      </w:r>
      <w:r w:rsidR="00922677" w:rsidRPr="00DC5084">
        <w:t xml:space="preserve"> Current smokers among prison entrants, by age group and </w:t>
      </w:r>
      <w:r w:rsidR="00171165">
        <w:t>Aboriginal and Torres Strait Islander</w:t>
      </w:r>
      <w:r w:rsidR="00171165" w:rsidRPr="00DC5084">
        <w:t xml:space="preserve"> </w:t>
      </w:r>
      <w:r w:rsidR="00922677" w:rsidRPr="00DC5084">
        <w:t>status, 2018</w:t>
      </w:r>
    </w:p>
    <w:p w14:paraId="3587FEE6" w14:textId="77777777" w:rsidR="0036142A" w:rsidRPr="00DC5084" w:rsidRDefault="0036142A" w:rsidP="0036142A">
      <w:pPr>
        <w:rPr>
          <w:b/>
          <w:bCs/>
        </w:rPr>
      </w:pPr>
      <w:r w:rsidRPr="00DC5084">
        <w:rPr>
          <w:b/>
          <w:bCs/>
        </w:rPr>
        <w:t>P</w:t>
      </w:r>
      <w:r w:rsidR="00356C1C" w:rsidRPr="00DC5084">
        <w:rPr>
          <w:b/>
          <w:bCs/>
        </w:rPr>
        <w:t>revalence of smoking in people with alcohol and drug problems or mental illness</w:t>
      </w:r>
    </w:p>
    <w:p w14:paraId="3D4A9FB6" w14:textId="54046265" w:rsidR="0088098A" w:rsidRPr="00DC5084" w:rsidRDefault="0088098A" w:rsidP="0036142A">
      <w:pPr>
        <w:rPr>
          <w:rFonts w:eastAsia="Times New Roman" w:cs="Arial"/>
          <w:color w:val="000000"/>
        </w:rPr>
      </w:pPr>
      <w:r w:rsidRPr="00DC5084">
        <w:rPr>
          <w:rFonts w:eastAsia="Times New Roman" w:cs="Arial"/>
          <w:color w:val="000000"/>
        </w:rPr>
        <w:t>Data from the National Drug Strategy Household Survey 2019 [1</w:t>
      </w:r>
      <w:r w:rsidR="00A4095B">
        <w:rPr>
          <w:rFonts w:eastAsia="Times New Roman" w:cs="Arial"/>
          <w:color w:val="000000"/>
        </w:rPr>
        <w:t>7</w:t>
      </w:r>
      <w:r w:rsidRPr="00DC5084">
        <w:rPr>
          <w:rFonts w:eastAsia="Times New Roman" w:cs="Arial"/>
          <w:color w:val="000000"/>
        </w:rPr>
        <w:t xml:space="preserve">] show that people with self-reported mental illness (depression, anxiety disorder, schizophrenia, bipolar disorder, an eating disorder and other) are </w:t>
      </w:r>
      <w:r w:rsidR="007D17CD">
        <w:rPr>
          <w:rFonts w:eastAsia="Times New Roman" w:cs="Arial"/>
          <w:color w:val="000000"/>
        </w:rPr>
        <w:t xml:space="preserve">almost </w:t>
      </w:r>
      <w:r w:rsidRPr="00DC5084">
        <w:rPr>
          <w:rFonts w:eastAsia="Times New Roman" w:cs="Arial"/>
          <w:color w:val="000000"/>
        </w:rPr>
        <w:t>twice as likely to be current smokers compared to people without mental illness</w:t>
      </w:r>
      <w:r w:rsidR="007D3ED1">
        <w:rPr>
          <w:rFonts w:eastAsia="Times New Roman" w:cs="Arial"/>
          <w:color w:val="000000"/>
        </w:rPr>
        <w:t xml:space="preserve"> (Figure 29</w:t>
      </w:r>
      <w:r w:rsidR="00885F70" w:rsidRPr="00DC5084">
        <w:rPr>
          <w:rFonts w:eastAsia="Times New Roman" w:cs="Arial"/>
          <w:color w:val="000000"/>
        </w:rPr>
        <w:t>).</w:t>
      </w:r>
      <w:r w:rsidRPr="00DC5084">
        <w:rPr>
          <w:rFonts w:eastAsia="Times New Roman" w:cs="Arial"/>
          <w:color w:val="000000"/>
        </w:rPr>
        <w:t xml:space="preserve"> </w:t>
      </w:r>
    </w:p>
    <w:p w14:paraId="72DDE101" w14:textId="77777777" w:rsidR="0088098A" w:rsidRDefault="0004555D" w:rsidP="0036142A">
      <w:pPr>
        <w:rPr>
          <w:sz w:val="22"/>
          <w:szCs w:val="22"/>
        </w:rPr>
      </w:pPr>
      <w:r>
        <w:rPr>
          <w:noProof/>
        </w:rPr>
        <w:drawing>
          <wp:inline distT="0" distB="0" distL="0" distR="0" wp14:anchorId="23D98887" wp14:editId="6B576A5F">
            <wp:extent cx="5029200" cy="2389517"/>
            <wp:effectExtent l="0" t="0" r="0" b="10795"/>
            <wp:docPr id="12" name="Chart 12">
              <a:extLst xmlns:a="http://schemas.openxmlformats.org/drawingml/2006/main">
                <a:ext uri="{FF2B5EF4-FFF2-40B4-BE49-F238E27FC236}">
                  <a16:creationId xmlns:a16="http://schemas.microsoft.com/office/drawing/2014/main" id="{5FEF9454-F338-4839-AFDE-E5D8DDB809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50DE60A" w14:textId="47BB9A01" w:rsidR="0088098A" w:rsidRDefault="0088098A" w:rsidP="0036142A">
      <w:r w:rsidRPr="00DC5084">
        <w:rPr>
          <w:b/>
          <w:bCs/>
        </w:rPr>
        <w:t>Fi</w:t>
      </w:r>
      <w:r w:rsidR="007D3ED1">
        <w:rPr>
          <w:b/>
          <w:bCs/>
        </w:rPr>
        <w:t>gure 29</w:t>
      </w:r>
      <w:r w:rsidRPr="00DC5084">
        <w:rPr>
          <w:b/>
          <w:bCs/>
        </w:rPr>
        <w:t>.</w:t>
      </w:r>
      <w:r w:rsidRPr="00DC5084">
        <w:t xml:space="preserve"> Current smok</w:t>
      </w:r>
      <w:r w:rsidR="00885F70" w:rsidRPr="00DC5084">
        <w:t>ing rates in people</w:t>
      </w:r>
      <w:r w:rsidRPr="00DC5084">
        <w:t xml:space="preserve"> aged 18+</w:t>
      </w:r>
      <w:r w:rsidR="0004555D" w:rsidRPr="00DC5084">
        <w:t>,</w:t>
      </w:r>
      <w:r w:rsidRPr="00DC5084">
        <w:t xml:space="preserve"> by mental health status</w:t>
      </w:r>
    </w:p>
    <w:p w14:paraId="413EDF15" w14:textId="18467A86" w:rsidR="007918FA" w:rsidRPr="00DC5084" w:rsidRDefault="007918FA" w:rsidP="007918FA">
      <w:pPr>
        <w:rPr>
          <w:rFonts w:cs="Arial"/>
          <w:color w:val="000000"/>
          <w:shd w:val="clear" w:color="auto" w:fill="FFFFFF"/>
        </w:rPr>
      </w:pPr>
      <w:r w:rsidRPr="00DC5084">
        <w:rPr>
          <w:rFonts w:eastAsia="Times New Roman" w:cs="Arial"/>
          <w:color w:val="000000"/>
        </w:rPr>
        <w:t>Greenhalgh</w:t>
      </w:r>
      <w:r w:rsidRPr="00DC5084">
        <w:t xml:space="preserve"> et al [2</w:t>
      </w:r>
      <w:r>
        <w:t>3</w:t>
      </w:r>
      <w:r w:rsidRPr="00DC5084">
        <w:t>] aggregated data from the National Health Survey 2014-2015 to report the prevalence of daily smoking by the typ</w:t>
      </w:r>
      <w:r w:rsidR="007D3ED1">
        <w:t>e of mental disorders. Figure 30</w:t>
      </w:r>
      <w:r w:rsidRPr="00DC5084">
        <w:t xml:space="preserve"> shows </w:t>
      </w:r>
      <w:r w:rsidRPr="00DC5084">
        <w:rPr>
          <w:rFonts w:cs="Arial"/>
          <w:color w:val="000000"/>
          <w:shd w:val="clear" w:color="auto" w:fill="FFFFFF"/>
        </w:rPr>
        <w:t xml:space="preserve">high prevalence of smoking among those with harmful use or dependence on drugs (74%) and alcohol (50%). Almost half of the people with schizophrenia were daily smokers, followed by 38% of people with panic disorders. </w:t>
      </w:r>
    </w:p>
    <w:p w14:paraId="2400ED1E" w14:textId="77777777" w:rsidR="000F0087" w:rsidRDefault="000F0087" w:rsidP="0036142A">
      <w:pPr>
        <w:rPr>
          <w:sz w:val="22"/>
          <w:szCs w:val="22"/>
        </w:rPr>
      </w:pPr>
      <w:r>
        <w:rPr>
          <w:noProof/>
        </w:rPr>
        <w:drawing>
          <wp:inline distT="0" distB="0" distL="0" distR="0" wp14:anchorId="1398BBB8" wp14:editId="65664966">
            <wp:extent cx="5114925" cy="3131389"/>
            <wp:effectExtent l="0" t="0" r="9525" b="12065"/>
            <wp:docPr id="10" name="Chart 10">
              <a:extLst xmlns:a="http://schemas.openxmlformats.org/drawingml/2006/main">
                <a:ext uri="{FF2B5EF4-FFF2-40B4-BE49-F238E27FC236}">
                  <a16:creationId xmlns:a16="http://schemas.microsoft.com/office/drawing/2014/main" id="{58654EF0-7AF4-4E16-B4E9-60E165EB1B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2954C1F" w14:textId="69F541CB" w:rsidR="000F0087" w:rsidRDefault="007D3ED1" w:rsidP="0036142A">
      <w:r>
        <w:rPr>
          <w:b/>
          <w:bCs/>
        </w:rPr>
        <w:t>Figure 30</w:t>
      </w:r>
      <w:r w:rsidR="000F0087" w:rsidRPr="00DC5084">
        <w:rPr>
          <w:b/>
          <w:bCs/>
        </w:rPr>
        <w:t>.</w:t>
      </w:r>
      <w:r w:rsidR="000F0087" w:rsidRPr="00DC5084">
        <w:t xml:space="preserve"> Prevalence of daily smoking by </w:t>
      </w:r>
      <w:r w:rsidR="00885F70" w:rsidRPr="00DC5084">
        <w:t xml:space="preserve">type of </w:t>
      </w:r>
      <w:r w:rsidR="000F0087" w:rsidRPr="00DC5084">
        <w:t>mental disorder in people aged 18+, 2014-2015.</w:t>
      </w:r>
    </w:p>
    <w:p w14:paraId="44963241" w14:textId="77777777" w:rsidR="00452FA2" w:rsidRDefault="00452FA2" w:rsidP="0036142A"/>
    <w:p w14:paraId="5112BE28" w14:textId="77777777" w:rsidR="00CB3B17" w:rsidRDefault="00CB3B17" w:rsidP="00CB3B17">
      <w:pPr>
        <w:rPr>
          <w:b/>
          <w:bCs/>
        </w:rPr>
      </w:pPr>
      <w:r>
        <w:rPr>
          <w:b/>
          <w:bCs/>
        </w:rPr>
        <w:t>Estimates of specific populations of interest with access to</w:t>
      </w:r>
      <w:r w:rsidRPr="00DC5084">
        <w:rPr>
          <w:b/>
          <w:bCs/>
        </w:rPr>
        <w:t xml:space="preserve"> smoking </w:t>
      </w:r>
      <w:r>
        <w:rPr>
          <w:b/>
          <w:bCs/>
        </w:rPr>
        <w:t xml:space="preserve">cessation therapies under the PBS </w:t>
      </w:r>
    </w:p>
    <w:p w14:paraId="5715D680" w14:textId="14768B39" w:rsidR="00452FA2" w:rsidRPr="00DC5084" w:rsidRDefault="0065631E" w:rsidP="00452FA2">
      <w:r w:rsidRPr="00FB72F7">
        <w:t xml:space="preserve">Based on availability of data, estimates </w:t>
      </w:r>
      <w:r w:rsidR="007D17CD" w:rsidRPr="00FB72F7">
        <w:t xml:space="preserve">of use of smoking cessation therapies </w:t>
      </w:r>
      <w:r w:rsidR="00452FA2" w:rsidRPr="00FB72F7">
        <w:t>among</w:t>
      </w:r>
      <w:r w:rsidR="007D17CD" w:rsidRPr="00FB72F7">
        <w:t xml:space="preserve"> </w:t>
      </w:r>
      <w:r w:rsidR="00452FA2" w:rsidRPr="00FB72F7">
        <w:t xml:space="preserve">current smokers aged 18+ in Australia </w:t>
      </w:r>
      <w:r w:rsidRPr="00FB72F7">
        <w:t xml:space="preserve">are presented </w:t>
      </w:r>
      <w:r w:rsidR="007D3ED1">
        <w:t>in Figure 31a and Figure 31b.  Figure 31</w:t>
      </w:r>
      <w:r w:rsidR="00452FA2" w:rsidRPr="00FB72F7">
        <w:t>a shows that in</w:t>
      </w:r>
      <w:r w:rsidR="0061661B" w:rsidRPr="00FB72F7">
        <w:t xml:space="preserve"> the</w:t>
      </w:r>
      <w:r w:rsidR="00452FA2" w:rsidRPr="00FB72F7">
        <w:t xml:space="preserve"> </w:t>
      </w:r>
      <w:r w:rsidR="00716CC7" w:rsidRPr="00FB72F7">
        <w:t xml:space="preserve">calendar </w:t>
      </w:r>
      <w:r w:rsidR="0061661B" w:rsidRPr="00FB72F7">
        <w:t xml:space="preserve">year </w:t>
      </w:r>
      <w:r w:rsidR="00452FA2" w:rsidRPr="00FB72F7">
        <w:t>2019, from the 2.9 million people who were current smokers, approximately 26</w:t>
      </w:r>
      <w:r w:rsidR="00716CC7" w:rsidRPr="00FB72F7">
        <w:t>7</w:t>
      </w:r>
      <w:r w:rsidR="00452FA2" w:rsidRPr="00FB72F7">
        <w:t>,000 had at least one smoking cessation medicine dispensed under</w:t>
      </w:r>
      <w:r w:rsidR="007D3ED1">
        <w:t xml:space="preserve"> the PBS. Figure 31</w:t>
      </w:r>
      <w:r w:rsidR="00452FA2" w:rsidRPr="00FB72F7">
        <w:t>b presents the same results per 1000 population aged 18</w:t>
      </w:r>
      <w:r w:rsidR="00FB72F7">
        <w:t xml:space="preserve"> years and over </w:t>
      </w:r>
      <w:r w:rsidR="00452FA2" w:rsidRPr="00FB72F7">
        <w:t>in Australia. It shows that in 2019, the rate of current smokers aged 18</w:t>
      </w:r>
      <w:r w:rsidR="00FB72F7">
        <w:t xml:space="preserve"> years and over </w:t>
      </w:r>
      <w:r w:rsidR="00452FA2" w:rsidRPr="00FB72F7">
        <w:t xml:space="preserve">was 147 per 1000 people in </w:t>
      </w:r>
      <w:r w:rsidR="002240AC" w:rsidRPr="00FB72F7">
        <w:t>Australia,</w:t>
      </w:r>
      <w:r w:rsidR="00452FA2" w:rsidRPr="00FB72F7">
        <w:t xml:space="preserve"> while 14 per 1000 people aged 18</w:t>
      </w:r>
      <w:r w:rsidR="00FB72F7">
        <w:t xml:space="preserve"> years and over</w:t>
      </w:r>
      <w:r w:rsidR="00452FA2" w:rsidRPr="00FB72F7">
        <w:t xml:space="preserve"> received at least one smoking cessation medicine under the PBS.</w:t>
      </w:r>
      <w:r w:rsidR="00452FA2">
        <w:t xml:space="preserve"> </w:t>
      </w:r>
    </w:p>
    <w:p w14:paraId="7BD2E1C2" w14:textId="77777777" w:rsidR="00452FA2" w:rsidRDefault="00452FA2" w:rsidP="007D17CD">
      <w:pPr>
        <w:spacing w:after="0"/>
      </w:pPr>
      <w:r>
        <w:rPr>
          <w:noProof/>
        </w:rPr>
        <w:drawing>
          <wp:inline distT="0" distB="0" distL="0" distR="0" wp14:anchorId="201AB9CE" wp14:editId="3C56CEF4">
            <wp:extent cx="4905375" cy="3124200"/>
            <wp:effectExtent l="0" t="0" r="9525" b="0"/>
            <wp:docPr id="43" name="Chart 43">
              <a:extLst xmlns:a="http://schemas.openxmlformats.org/drawingml/2006/main">
                <a:ext uri="{FF2B5EF4-FFF2-40B4-BE49-F238E27FC236}">
                  <a16:creationId xmlns:a16="http://schemas.microsoft.com/office/drawing/2014/main" id="{E19DE3C0-3E56-46D5-9A1E-0634B29B02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42BD9F1" w14:textId="77777777" w:rsidR="00452FA2" w:rsidRDefault="00452FA2" w:rsidP="007D17CD">
      <w:pPr>
        <w:spacing w:after="0"/>
      </w:pPr>
    </w:p>
    <w:p w14:paraId="0154E62B" w14:textId="4E3BB97F" w:rsidR="00452FA2" w:rsidRDefault="007D3ED1" w:rsidP="00452FA2">
      <w:r>
        <w:rPr>
          <w:b/>
          <w:bCs/>
        </w:rPr>
        <w:t>Figure 31</w:t>
      </w:r>
      <w:r w:rsidR="00452FA2" w:rsidRPr="00FB72F7">
        <w:rPr>
          <w:b/>
          <w:bCs/>
        </w:rPr>
        <w:t>a</w:t>
      </w:r>
      <w:r w:rsidR="00452FA2" w:rsidRPr="00FB72F7">
        <w:t>. Number of current smokers in Australia and prevalent users of PBS subsided medicines for smoking cessation, aged 18</w:t>
      </w:r>
      <w:r w:rsidR="00FB72F7">
        <w:t xml:space="preserve"> years and over</w:t>
      </w:r>
      <w:r w:rsidR="00452FA2" w:rsidRPr="00FB72F7">
        <w:t>.</w:t>
      </w:r>
    </w:p>
    <w:p w14:paraId="310EBD83" w14:textId="77777777" w:rsidR="00452FA2" w:rsidRDefault="00452FA2" w:rsidP="00452FA2"/>
    <w:p w14:paraId="1D8925C8" w14:textId="77777777" w:rsidR="00452FA2" w:rsidRDefault="00452FA2" w:rsidP="00452FA2">
      <w:r>
        <w:rPr>
          <w:noProof/>
        </w:rPr>
        <w:drawing>
          <wp:inline distT="0" distB="0" distL="0" distR="0" wp14:anchorId="694E4C8A" wp14:editId="7BDB4B88">
            <wp:extent cx="4943475" cy="3324225"/>
            <wp:effectExtent l="0" t="0" r="9525" b="9525"/>
            <wp:docPr id="47" name="Chart 47">
              <a:extLst xmlns:a="http://schemas.openxmlformats.org/drawingml/2006/main">
                <a:ext uri="{FF2B5EF4-FFF2-40B4-BE49-F238E27FC236}">
                  <a16:creationId xmlns:a16="http://schemas.microsoft.com/office/drawing/2014/main" id="{659B71E2-C3EC-40A7-9AA6-0642BB100A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17B2ACF" w14:textId="52F7D79E" w:rsidR="00452FA2" w:rsidRDefault="00452FA2" w:rsidP="00452FA2">
      <w:r w:rsidRPr="00FB72F7">
        <w:rPr>
          <w:b/>
          <w:bCs/>
        </w:rPr>
        <w:t xml:space="preserve">Figure </w:t>
      </w:r>
      <w:r w:rsidR="007D3ED1">
        <w:rPr>
          <w:b/>
          <w:bCs/>
        </w:rPr>
        <w:t>31</w:t>
      </w:r>
      <w:r w:rsidRPr="00FB72F7">
        <w:rPr>
          <w:b/>
          <w:bCs/>
        </w:rPr>
        <w:t>b.</w:t>
      </w:r>
      <w:r w:rsidRPr="00FB72F7">
        <w:t xml:space="preserve"> Rate or current smokers and prevalent users of PBS subsidised medicines for smoking cessation, per 1000 residents in Australia, aged 18</w:t>
      </w:r>
      <w:r w:rsidR="00FB72F7">
        <w:t xml:space="preserve"> years and over.</w:t>
      </w:r>
    </w:p>
    <w:p w14:paraId="5D260B6C" w14:textId="77777777" w:rsidR="005D0923" w:rsidRDefault="005D0923" w:rsidP="005D0923"/>
    <w:p w14:paraId="1791039E" w14:textId="77777777" w:rsidR="005D0923" w:rsidRDefault="005D0923" w:rsidP="005D0923"/>
    <w:p w14:paraId="31448A3C" w14:textId="6C7B3AA9" w:rsidR="000E5AAA" w:rsidRDefault="007D3ED1" w:rsidP="00F366F4">
      <w:r>
        <w:t>Figure 31</w:t>
      </w:r>
      <w:r w:rsidR="005D0923">
        <w:t xml:space="preserve">c shows estimates of use of smoking cessation therapies in specific populations in 2013, 2016 and 2019. </w:t>
      </w:r>
      <w:r w:rsidR="000E5AAA">
        <w:t xml:space="preserve">In 2019, </w:t>
      </w:r>
    </w:p>
    <w:p w14:paraId="2D77DE5D" w14:textId="3F630321" w:rsidR="000E5AAA" w:rsidRPr="007D17CD" w:rsidRDefault="000F6304" w:rsidP="007D17CD">
      <w:pPr>
        <w:pStyle w:val="ListParagraph"/>
        <w:numPr>
          <w:ilvl w:val="0"/>
          <w:numId w:val="4"/>
        </w:numPr>
        <w:rPr>
          <w:rFonts w:asciiTheme="minorHAnsi" w:hAnsiTheme="minorHAnsi" w:cstheme="minorHAnsi"/>
        </w:rPr>
      </w:pPr>
      <w:r>
        <w:rPr>
          <w:rFonts w:asciiTheme="minorHAnsi" w:hAnsiTheme="minorHAnsi" w:cstheme="minorHAnsi"/>
        </w:rPr>
        <w:t>10</w:t>
      </w:r>
      <w:r w:rsidR="000E5AAA" w:rsidRPr="007D17CD">
        <w:rPr>
          <w:rFonts w:asciiTheme="minorHAnsi" w:hAnsiTheme="minorHAnsi" w:cstheme="minorHAnsi"/>
        </w:rPr>
        <w:t>% of all current smokers aged 18+ in Australia received smoking cessation therapies under the PBS;</w:t>
      </w:r>
    </w:p>
    <w:p w14:paraId="6A9A62F6" w14:textId="77777777" w:rsidR="000E5AAA" w:rsidRPr="007D17CD" w:rsidRDefault="000E5AAA" w:rsidP="007D17CD">
      <w:pPr>
        <w:pStyle w:val="ListParagraph"/>
        <w:numPr>
          <w:ilvl w:val="0"/>
          <w:numId w:val="4"/>
        </w:numPr>
        <w:rPr>
          <w:rFonts w:asciiTheme="minorHAnsi" w:hAnsiTheme="minorHAnsi" w:cstheme="minorHAnsi"/>
        </w:rPr>
      </w:pPr>
      <w:r w:rsidRPr="007D17CD">
        <w:rPr>
          <w:rFonts w:asciiTheme="minorHAnsi" w:hAnsiTheme="minorHAnsi" w:cstheme="minorHAnsi"/>
        </w:rPr>
        <w:t>1% of all Australian women in child-bearing age (aged 15 to 44) received smoking cessation therapies under the PBS;</w:t>
      </w:r>
    </w:p>
    <w:p w14:paraId="3FD354A7" w14:textId="547BDEB5" w:rsidR="000E5AAA" w:rsidRDefault="00B605DA" w:rsidP="007D17CD">
      <w:pPr>
        <w:pStyle w:val="ListParagraph"/>
        <w:numPr>
          <w:ilvl w:val="0"/>
          <w:numId w:val="4"/>
        </w:numPr>
        <w:spacing w:after="240"/>
        <w:rPr>
          <w:rFonts w:asciiTheme="minorHAnsi" w:hAnsiTheme="minorHAnsi" w:cstheme="minorHAnsi"/>
        </w:rPr>
      </w:pPr>
      <w:r w:rsidRPr="007D17CD">
        <w:rPr>
          <w:rFonts w:asciiTheme="minorHAnsi" w:hAnsiTheme="minorHAnsi" w:cstheme="minorHAnsi"/>
        </w:rPr>
        <w:t>6</w:t>
      </w:r>
      <w:r w:rsidR="000E5AAA" w:rsidRPr="007D17CD">
        <w:rPr>
          <w:rFonts w:asciiTheme="minorHAnsi" w:hAnsiTheme="minorHAnsi" w:cstheme="minorHAnsi"/>
        </w:rPr>
        <w:t>% of all Aboriginal and Torres Strait Islander population aged 18+ in Australia received smoking cessation therapies under the PBS</w:t>
      </w:r>
      <w:r w:rsidR="00D22139">
        <w:rPr>
          <w:rFonts w:asciiTheme="minorHAnsi" w:hAnsiTheme="minorHAnsi" w:cstheme="minorHAnsi"/>
        </w:rPr>
        <w:t>.</w:t>
      </w:r>
    </w:p>
    <w:p w14:paraId="296369FA" w14:textId="77777777" w:rsidR="000E5AAA" w:rsidRDefault="00877EF8" w:rsidP="000E5AAA">
      <w:r>
        <w:rPr>
          <w:noProof/>
        </w:rPr>
        <w:drawing>
          <wp:inline distT="0" distB="0" distL="0" distR="0" wp14:anchorId="26ED94D9" wp14:editId="037406CD">
            <wp:extent cx="4572000" cy="3886200"/>
            <wp:effectExtent l="0" t="0" r="0" b="0"/>
            <wp:docPr id="40" name="Chart 40">
              <a:extLst xmlns:a="http://schemas.openxmlformats.org/drawingml/2006/main">
                <a:ext uri="{FF2B5EF4-FFF2-40B4-BE49-F238E27FC236}">
                  <a16:creationId xmlns:a16="http://schemas.microsoft.com/office/drawing/2014/main" id="{CC65A43B-2BE3-4EE8-9CC2-653EAAC1C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5E57775" w14:textId="620E3777" w:rsidR="0065631E" w:rsidRDefault="0065631E" w:rsidP="0065631E">
      <w:r w:rsidRPr="00A27079">
        <w:rPr>
          <w:b/>
          <w:bCs/>
        </w:rPr>
        <w:t xml:space="preserve">Figure </w:t>
      </w:r>
      <w:r w:rsidR="007D3ED1">
        <w:rPr>
          <w:b/>
          <w:bCs/>
        </w:rPr>
        <w:t>31</w:t>
      </w:r>
      <w:r w:rsidR="005D0923">
        <w:rPr>
          <w:b/>
          <w:bCs/>
        </w:rPr>
        <w:t>c</w:t>
      </w:r>
      <w:r>
        <w:t xml:space="preserve">. Proportion of people </w:t>
      </w:r>
      <w:r w:rsidR="00D22139">
        <w:t>that received</w:t>
      </w:r>
      <w:r>
        <w:t xml:space="preserve"> smoking cessation therapies under the PBS from total Australian population of interest</w:t>
      </w:r>
    </w:p>
    <w:p w14:paraId="2F24A2F7" w14:textId="77777777" w:rsidR="005D0923" w:rsidRDefault="005D0923">
      <w:pPr>
        <w:spacing w:after="0"/>
        <w:rPr>
          <w:b/>
          <w:bCs/>
        </w:rPr>
      </w:pPr>
      <w:r>
        <w:rPr>
          <w:b/>
          <w:bCs/>
        </w:rPr>
        <w:br w:type="page"/>
      </w:r>
    </w:p>
    <w:p w14:paraId="2B8CA0F1" w14:textId="77777777" w:rsidR="000E5AAA" w:rsidRPr="00AA7472" w:rsidRDefault="00AA7472" w:rsidP="00B350FD">
      <w:pPr>
        <w:rPr>
          <w:b/>
          <w:bCs/>
        </w:rPr>
      </w:pPr>
      <w:r w:rsidRPr="00AA7472">
        <w:rPr>
          <w:b/>
          <w:bCs/>
        </w:rPr>
        <w:t xml:space="preserve">Use of </w:t>
      </w:r>
      <w:r>
        <w:rPr>
          <w:b/>
          <w:bCs/>
        </w:rPr>
        <w:t>various aids to assist smoking cessation</w:t>
      </w:r>
      <w:r w:rsidRPr="00AA7472">
        <w:rPr>
          <w:b/>
          <w:bCs/>
        </w:rPr>
        <w:t xml:space="preserve"> </w:t>
      </w:r>
    </w:p>
    <w:p w14:paraId="4D0714C4" w14:textId="39333499" w:rsidR="00B350FD" w:rsidRDefault="00B350FD" w:rsidP="00B350FD">
      <w:r w:rsidRPr="00DC5084">
        <w:t>The use of various aid</w:t>
      </w:r>
      <w:r w:rsidR="002179F2">
        <w:t>s</w:t>
      </w:r>
      <w:r w:rsidRPr="00DC5084">
        <w:t xml:space="preserve"> to assist smoking cessation including </w:t>
      </w:r>
      <w:r w:rsidR="00D64CBA">
        <w:t xml:space="preserve">use of </w:t>
      </w:r>
      <w:r w:rsidRPr="00DC5084">
        <w:t xml:space="preserve">counselling services such as Quitline was based on the Australian Institute of Health and Welfare, National Drug Strategy Household Survey 2019 </w:t>
      </w:r>
      <w:r w:rsidR="00DE1B14">
        <w:t>[1</w:t>
      </w:r>
      <w:r w:rsidR="00A4095B">
        <w:t>7</w:t>
      </w:r>
      <w:r w:rsidR="00DE1B14">
        <w:t>]. Figure 3</w:t>
      </w:r>
      <w:r w:rsidR="007D3ED1">
        <w:t>2</w:t>
      </w:r>
      <w:r w:rsidR="00DE1B14">
        <w:t xml:space="preserve"> shows that most current smokers </w:t>
      </w:r>
      <w:r w:rsidR="00D64CBA">
        <w:t xml:space="preserve">reported </w:t>
      </w:r>
      <w:r w:rsidR="00DE1B14">
        <w:t>us</w:t>
      </w:r>
      <w:r w:rsidR="00D64CBA">
        <w:t>ing</w:t>
      </w:r>
      <w:r w:rsidR="00DE1B14">
        <w:t xml:space="preserve"> nicotine gum, patch, inhaler or spray as an aid to quit smoking (17% in 2019). </w:t>
      </w:r>
    </w:p>
    <w:p w14:paraId="23B48D87" w14:textId="77777777" w:rsidR="0024011E" w:rsidRDefault="00DE1B14" w:rsidP="00B350FD">
      <w:r>
        <w:rPr>
          <w:noProof/>
        </w:rPr>
        <w:drawing>
          <wp:inline distT="0" distB="0" distL="0" distR="0" wp14:anchorId="1535A245" wp14:editId="459EE298">
            <wp:extent cx="5274310" cy="3781425"/>
            <wp:effectExtent l="0" t="0" r="2540" b="9525"/>
            <wp:docPr id="14" name="Chart 14">
              <a:extLst xmlns:a="http://schemas.openxmlformats.org/drawingml/2006/main">
                <a:ext uri="{FF2B5EF4-FFF2-40B4-BE49-F238E27FC236}">
                  <a16:creationId xmlns:a16="http://schemas.microsoft.com/office/drawing/2014/main" id="{ABF5155F-60A0-4E51-BDCE-5FDAF9649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0A64437" w14:textId="01D9EDFE" w:rsidR="0024011E" w:rsidRPr="00DC5084" w:rsidRDefault="00DE1B14" w:rsidP="00B350FD">
      <w:r w:rsidRPr="00DE1B14">
        <w:rPr>
          <w:b/>
          <w:bCs/>
        </w:rPr>
        <w:t>Figure 3</w:t>
      </w:r>
      <w:r w:rsidR="007D3ED1">
        <w:rPr>
          <w:b/>
          <w:bCs/>
        </w:rPr>
        <w:t>2</w:t>
      </w:r>
      <w:r w:rsidRPr="00DE1B14">
        <w:rPr>
          <w:b/>
          <w:bCs/>
        </w:rPr>
        <w:t>.</w:t>
      </w:r>
      <w:r>
        <w:t xml:space="preserve"> Activities undertaken by current smokers aged 14+ to help quit smoking</w:t>
      </w:r>
    </w:p>
    <w:p w14:paraId="6593D974" w14:textId="77777777" w:rsidR="00D64CBA" w:rsidRDefault="00D64CBA">
      <w:pPr>
        <w:spacing w:after="0"/>
        <w:rPr>
          <w:b/>
          <w:bCs/>
        </w:rPr>
      </w:pPr>
      <w:r>
        <w:rPr>
          <w:b/>
          <w:bCs/>
        </w:rPr>
        <w:br w:type="page"/>
      </w:r>
    </w:p>
    <w:p w14:paraId="740A316C" w14:textId="77777777" w:rsidR="00AA7472" w:rsidRPr="00AA7472" w:rsidRDefault="00AA7472" w:rsidP="00DE1B14">
      <w:pPr>
        <w:rPr>
          <w:b/>
          <w:bCs/>
        </w:rPr>
      </w:pPr>
      <w:r w:rsidRPr="00AA7472">
        <w:rPr>
          <w:b/>
          <w:bCs/>
        </w:rPr>
        <w:t xml:space="preserve">Use of </w:t>
      </w:r>
      <w:r>
        <w:rPr>
          <w:b/>
          <w:bCs/>
        </w:rPr>
        <w:t>Quitline as a counselling service</w:t>
      </w:r>
    </w:p>
    <w:p w14:paraId="1C297E7B" w14:textId="31B2CB86" w:rsidR="008C40EB" w:rsidRDefault="008C40EB" w:rsidP="008C40EB">
      <w:r>
        <w:t>Quitline d</w:t>
      </w:r>
      <w:r w:rsidRPr="00DC5084">
        <w:t xml:space="preserve">ata </w:t>
      </w:r>
      <w:r>
        <w:t xml:space="preserve">was </w:t>
      </w:r>
      <w:r w:rsidRPr="00DC5084">
        <w:t xml:space="preserve">provided </w:t>
      </w:r>
      <w:r>
        <w:t xml:space="preserve">to </w:t>
      </w:r>
      <w:r w:rsidRPr="00DC5084">
        <w:t>the Department of Health</w:t>
      </w:r>
      <w:r>
        <w:t xml:space="preserve"> for this review</w:t>
      </w:r>
      <w:r w:rsidRPr="00DC5084">
        <w:t>, including data from the Victorian</w:t>
      </w:r>
      <w:r>
        <w:t>, Queensland and NSW</w:t>
      </w:r>
      <w:r w:rsidRPr="00DC5084">
        <w:t xml:space="preserve"> Quitline for 2019</w:t>
      </w:r>
      <w:r>
        <w:t xml:space="preserve">. </w:t>
      </w:r>
    </w:p>
    <w:p w14:paraId="77A34BAD" w14:textId="52C60014" w:rsidR="00AC78C1" w:rsidRPr="000A3424" w:rsidRDefault="00AC78C1" w:rsidP="00DC79B5">
      <w:pPr>
        <w:rPr>
          <w:b/>
          <w:bCs/>
          <w:i/>
          <w:iCs/>
          <w:color w:val="000000"/>
        </w:rPr>
      </w:pPr>
      <w:r w:rsidRPr="000A3424">
        <w:rPr>
          <w:b/>
          <w:bCs/>
          <w:i/>
          <w:iCs/>
          <w:color w:val="000000"/>
        </w:rPr>
        <w:t>Number of people contacting Quitline</w:t>
      </w:r>
    </w:p>
    <w:p w14:paraId="1E4F250B" w14:textId="740631D2" w:rsidR="008C40EB" w:rsidRDefault="008C40EB" w:rsidP="008C40EB">
      <w:pPr>
        <w:rPr>
          <w:color w:val="000000"/>
        </w:rPr>
      </w:pPr>
      <w:r>
        <w:rPr>
          <w:color w:val="000000"/>
        </w:rPr>
        <w:t>Figure 33 presents the n</w:t>
      </w:r>
      <w:r w:rsidRPr="00DC5084">
        <w:rPr>
          <w:color w:val="000000"/>
        </w:rPr>
        <w:t xml:space="preserve">umber of people contacting </w:t>
      </w:r>
      <w:r>
        <w:rPr>
          <w:color w:val="000000"/>
        </w:rPr>
        <w:t xml:space="preserve">the </w:t>
      </w:r>
      <w:r w:rsidRPr="00DC5084">
        <w:rPr>
          <w:color w:val="000000"/>
        </w:rPr>
        <w:t xml:space="preserve">Quitline </w:t>
      </w:r>
      <w:r>
        <w:rPr>
          <w:color w:val="000000"/>
        </w:rPr>
        <w:t>across the three states; each state received between 300 to 750 calls a month. On average, Queensland received a higher number of calls compared to the NSW and Victoria</w:t>
      </w:r>
      <w:r w:rsidR="000A3424">
        <w:rPr>
          <w:color w:val="000000"/>
        </w:rPr>
        <w:t xml:space="preserve"> Quitline</w:t>
      </w:r>
      <w:r>
        <w:rPr>
          <w:color w:val="000000"/>
        </w:rPr>
        <w:t>. During 2019 Queensland Quitline provided an ‘intensive quit support program’ which provided 12 weeks of free NRT combination therapy and 4 outbound Quitline calls to clients.</w:t>
      </w:r>
    </w:p>
    <w:p w14:paraId="7BD6D870" w14:textId="77777777" w:rsidR="008C40EB" w:rsidRDefault="008C40EB" w:rsidP="00DC79B5">
      <w:pPr>
        <w:rPr>
          <w:color w:val="000000"/>
        </w:rPr>
      </w:pPr>
    </w:p>
    <w:p w14:paraId="3293D96F" w14:textId="77777777" w:rsidR="001973E2" w:rsidRDefault="0042397C" w:rsidP="007562CB">
      <w:pPr>
        <w:rPr>
          <w:color w:val="000000"/>
        </w:rPr>
      </w:pPr>
      <w:r>
        <w:rPr>
          <w:noProof/>
        </w:rPr>
        <w:drawing>
          <wp:inline distT="0" distB="0" distL="0" distR="0" wp14:anchorId="7B67BD87" wp14:editId="55DEDBDA">
            <wp:extent cx="5624195" cy="2895600"/>
            <wp:effectExtent l="0" t="0" r="14605" b="0"/>
            <wp:docPr id="3" name="Chart 3">
              <a:extLst xmlns:a="http://schemas.openxmlformats.org/drawingml/2006/main">
                <a:ext uri="{FF2B5EF4-FFF2-40B4-BE49-F238E27FC236}">
                  <a16:creationId xmlns:a16="http://schemas.microsoft.com/office/drawing/2014/main" id="{B677FEDA-D2BE-4724-9410-90DB47CA4B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D093BCE" w14:textId="009B68CC" w:rsidR="00DC79B5" w:rsidRDefault="00DC79B5" w:rsidP="007562CB">
      <w:pPr>
        <w:rPr>
          <w:color w:val="000000"/>
        </w:rPr>
      </w:pPr>
      <w:r w:rsidRPr="00DC79B5">
        <w:rPr>
          <w:b/>
          <w:bCs/>
          <w:color w:val="000000"/>
        </w:rPr>
        <w:t>Figure 3</w:t>
      </w:r>
      <w:r w:rsidR="007D3ED1">
        <w:rPr>
          <w:b/>
          <w:bCs/>
          <w:color w:val="000000"/>
        </w:rPr>
        <w:t>3</w:t>
      </w:r>
      <w:r w:rsidRPr="00DC79B5">
        <w:rPr>
          <w:b/>
          <w:bCs/>
          <w:color w:val="000000"/>
        </w:rPr>
        <w:t>.</w:t>
      </w:r>
      <w:r>
        <w:rPr>
          <w:color w:val="000000"/>
        </w:rPr>
        <w:t xml:space="preserve"> Number of inbound calls to Quitline, by state, 2019</w:t>
      </w:r>
    </w:p>
    <w:p w14:paraId="6F036615" w14:textId="77777777" w:rsidR="00B350FD" w:rsidRPr="000A3424" w:rsidRDefault="00B350FD" w:rsidP="00AC78C1">
      <w:pPr>
        <w:rPr>
          <w:b/>
          <w:bCs/>
          <w:i/>
          <w:iCs/>
          <w:color w:val="000000"/>
        </w:rPr>
      </w:pPr>
      <w:r w:rsidRPr="000A3424">
        <w:rPr>
          <w:b/>
          <w:bCs/>
          <w:i/>
          <w:iCs/>
          <w:color w:val="000000"/>
        </w:rPr>
        <w:t>Proportion of people who call Quitline who are referred by a health professional/</w:t>
      </w:r>
      <w:r w:rsidR="00AC78C1" w:rsidRPr="000A3424">
        <w:rPr>
          <w:b/>
          <w:bCs/>
          <w:i/>
          <w:iCs/>
          <w:color w:val="000000"/>
        </w:rPr>
        <w:t xml:space="preserve"> </w:t>
      </w:r>
      <w:r w:rsidRPr="000A3424">
        <w:rPr>
          <w:b/>
          <w:bCs/>
          <w:i/>
          <w:iCs/>
          <w:color w:val="000000"/>
        </w:rPr>
        <w:t xml:space="preserve">GP </w:t>
      </w:r>
    </w:p>
    <w:p w14:paraId="70703780" w14:textId="26C0A863" w:rsidR="00AC78C1" w:rsidRPr="00AA7472" w:rsidRDefault="00AC78C1" w:rsidP="00AC78C1">
      <w:pPr>
        <w:rPr>
          <w:color w:val="000000"/>
        </w:rPr>
      </w:pPr>
      <w:r w:rsidRPr="00AA7472">
        <w:rPr>
          <w:color w:val="000000"/>
        </w:rPr>
        <w:t>In</w:t>
      </w:r>
      <w:r w:rsidR="008955BE" w:rsidRPr="00AA7472">
        <w:rPr>
          <w:color w:val="000000"/>
        </w:rPr>
        <w:t xml:space="preserve"> NSW, </w:t>
      </w:r>
      <w:r w:rsidR="00DE1B14" w:rsidRPr="00AA7472">
        <w:rPr>
          <w:color w:val="000000"/>
        </w:rPr>
        <w:t>1</w:t>
      </w:r>
      <w:r w:rsidR="008955BE" w:rsidRPr="00AA7472">
        <w:rPr>
          <w:color w:val="000000"/>
        </w:rPr>
        <w:t xml:space="preserve">3% </w:t>
      </w:r>
      <w:r w:rsidRPr="00AA7472">
        <w:rPr>
          <w:color w:val="000000"/>
        </w:rPr>
        <w:t xml:space="preserve">of </w:t>
      </w:r>
      <w:r w:rsidR="00DE1B14" w:rsidRPr="00AA7472">
        <w:rPr>
          <w:color w:val="000000"/>
        </w:rPr>
        <w:t xml:space="preserve">Quitline callers had a referral </w:t>
      </w:r>
      <w:r w:rsidR="008955BE" w:rsidRPr="00AA7472">
        <w:rPr>
          <w:color w:val="000000"/>
        </w:rPr>
        <w:t xml:space="preserve">by GP and </w:t>
      </w:r>
      <w:r w:rsidRPr="00AA7472">
        <w:rPr>
          <w:color w:val="000000"/>
        </w:rPr>
        <w:t xml:space="preserve">a </w:t>
      </w:r>
      <w:r w:rsidR="008955BE" w:rsidRPr="00AA7472">
        <w:rPr>
          <w:color w:val="000000"/>
        </w:rPr>
        <w:t>f</w:t>
      </w:r>
      <w:r w:rsidRPr="00AA7472">
        <w:rPr>
          <w:color w:val="000000"/>
        </w:rPr>
        <w:t>u</w:t>
      </w:r>
      <w:r w:rsidR="008955BE" w:rsidRPr="00AA7472">
        <w:rPr>
          <w:color w:val="000000"/>
        </w:rPr>
        <w:t xml:space="preserve">rther </w:t>
      </w:r>
      <w:r w:rsidR="00DE1B14" w:rsidRPr="00AA7472">
        <w:rPr>
          <w:color w:val="000000"/>
        </w:rPr>
        <w:t>6</w:t>
      </w:r>
      <w:r w:rsidR="008955BE" w:rsidRPr="00AA7472">
        <w:rPr>
          <w:color w:val="000000"/>
        </w:rPr>
        <w:t xml:space="preserve">% </w:t>
      </w:r>
      <w:r w:rsidR="000A3424">
        <w:rPr>
          <w:color w:val="000000"/>
        </w:rPr>
        <w:t xml:space="preserve">came </w:t>
      </w:r>
      <w:r w:rsidR="008955BE" w:rsidRPr="00AA7472">
        <w:rPr>
          <w:color w:val="000000"/>
        </w:rPr>
        <w:t>from h</w:t>
      </w:r>
      <w:r w:rsidRPr="00AA7472">
        <w:rPr>
          <w:color w:val="000000"/>
        </w:rPr>
        <w:t>o</w:t>
      </w:r>
      <w:r w:rsidR="008955BE" w:rsidRPr="00AA7472">
        <w:rPr>
          <w:color w:val="000000"/>
        </w:rPr>
        <w:t xml:space="preserve">spitals. </w:t>
      </w:r>
    </w:p>
    <w:p w14:paraId="1C0E1DB7" w14:textId="604B6422" w:rsidR="008955BE" w:rsidRDefault="008955BE" w:rsidP="00AC78C1">
      <w:pPr>
        <w:rPr>
          <w:color w:val="000000"/>
        </w:rPr>
      </w:pPr>
      <w:r w:rsidRPr="00AA7472">
        <w:rPr>
          <w:color w:val="000000"/>
        </w:rPr>
        <w:t xml:space="preserve">In Victoria, </w:t>
      </w:r>
      <w:r w:rsidR="00DE1B14" w:rsidRPr="00AA7472">
        <w:rPr>
          <w:color w:val="000000"/>
        </w:rPr>
        <w:t>5</w:t>
      </w:r>
      <w:r w:rsidRPr="00AA7472">
        <w:rPr>
          <w:color w:val="000000"/>
        </w:rPr>
        <w:t xml:space="preserve">% of </w:t>
      </w:r>
      <w:r w:rsidR="00DE1B14" w:rsidRPr="00AA7472">
        <w:rPr>
          <w:color w:val="000000"/>
        </w:rPr>
        <w:t xml:space="preserve">Quitline callers had a referral </w:t>
      </w:r>
      <w:r w:rsidRPr="00AA7472">
        <w:rPr>
          <w:color w:val="000000"/>
        </w:rPr>
        <w:t xml:space="preserve">from primary and community health, and </w:t>
      </w:r>
      <w:r w:rsidR="00AC78C1" w:rsidRPr="00AA7472">
        <w:rPr>
          <w:color w:val="000000"/>
        </w:rPr>
        <w:t xml:space="preserve">a further 2% </w:t>
      </w:r>
      <w:r w:rsidR="000A3424">
        <w:rPr>
          <w:color w:val="000000"/>
        </w:rPr>
        <w:t xml:space="preserve">came </w:t>
      </w:r>
      <w:r w:rsidR="00AC78C1" w:rsidRPr="00AA7472">
        <w:rPr>
          <w:color w:val="000000"/>
        </w:rPr>
        <w:t>from hospitals</w:t>
      </w:r>
      <w:r w:rsidR="00D64CBA">
        <w:rPr>
          <w:color w:val="000000"/>
        </w:rPr>
        <w:t xml:space="preserve"> or a </w:t>
      </w:r>
      <w:r w:rsidR="00AC78C1" w:rsidRPr="00AA7472">
        <w:rPr>
          <w:color w:val="000000"/>
        </w:rPr>
        <w:t>health service.</w:t>
      </w:r>
      <w:r w:rsidR="00AC78C1">
        <w:rPr>
          <w:color w:val="000000"/>
        </w:rPr>
        <w:t xml:space="preserve"> </w:t>
      </w:r>
    </w:p>
    <w:p w14:paraId="1E84AB4D" w14:textId="38D52264" w:rsidR="007562CB" w:rsidRPr="006B454E" w:rsidRDefault="00AC78C1" w:rsidP="00B350FD">
      <w:pPr>
        <w:rPr>
          <w:color w:val="000000"/>
        </w:rPr>
      </w:pPr>
      <w:r>
        <w:rPr>
          <w:color w:val="000000"/>
        </w:rPr>
        <w:t>There was no data available for QLD.</w:t>
      </w:r>
    </w:p>
    <w:p w14:paraId="62AC6D28" w14:textId="659EA165" w:rsidR="00141886" w:rsidRPr="00847FD3" w:rsidRDefault="00486248" w:rsidP="00847FD3">
      <w:pPr>
        <w:pStyle w:val="Heading3"/>
        <w:rPr>
          <w:rFonts w:asciiTheme="minorHAnsi" w:hAnsiTheme="minorHAnsi" w:cstheme="minorHAnsi"/>
          <w:b/>
          <w:i/>
          <w:iCs/>
          <w:sz w:val="28"/>
          <w:szCs w:val="28"/>
        </w:rPr>
      </w:pPr>
      <w:bookmarkStart w:id="48" w:name="_Toc72840901"/>
      <w:r>
        <w:rPr>
          <w:rFonts w:asciiTheme="minorHAnsi" w:hAnsiTheme="minorHAnsi" w:cstheme="minorHAnsi"/>
          <w:b/>
          <w:i/>
          <w:sz w:val="28"/>
          <w:szCs w:val="28"/>
        </w:rPr>
        <w:t>2.4</w:t>
      </w:r>
      <w:r w:rsidR="008819BE" w:rsidRPr="00847FD3">
        <w:rPr>
          <w:rFonts w:asciiTheme="minorHAnsi" w:hAnsiTheme="minorHAnsi" w:cstheme="minorHAnsi"/>
          <w:b/>
          <w:i/>
          <w:sz w:val="28"/>
          <w:szCs w:val="28"/>
        </w:rPr>
        <w:t xml:space="preserve">.6 </w:t>
      </w:r>
      <w:r w:rsidR="00141886" w:rsidRPr="00847FD3">
        <w:rPr>
          <w:rFonts w:asciiTheme="minorHAnsi" w:hAnsiTheme="minorHAnsi" w:cstheme="minorHAnsi"/>
          <w:b/>
          <w:i/>
          <w:sz w:val="28"/>
          <w:szCs w:val="28"/>
        </w:rPr>
        <w:t>Trajectory of care</w:t>
      </w:r>
      <w:bookmarkEnd w:id="48"/>
    </w:p>
    <w:p w14:paraId="0BE47C9D" w14:textId="77777777" w:rsidR="003B4E9E" w:rsidRDefault="00AE5DC6" w:rsidP="00AE5DC6">
      <w:pPr>
        <w:rPr>
          <w:rFonts w:cstheme="minorHAnsi"/>
          <w:lang w:val="en-US"/>
        </w:rPr>
      </w:pPr>
      <w:r>
        <w:t>All people who initiated smoking cessation therapy</w:t>
      </w:r>
      <w:r>
        <w:rPr>
          <w:rFonts w:cstheme="minorHAnsi"/>
          <w:lang w:val="en-US"/>
        </w:rPr>
        <w:t xml:space="preserve"> (first ever prescription) between 1 July 2010</w:t>
      </w:r>
      <w:r w:rsidRPr="005906CC">
        <w:rPr>
          <w:rFonts w:cstheme="minorHAnsi"/>
          <w:lang w:val="en-US"/>
        </w:rPr>
        <w:t xml:space="preserve"> and </w:t>
      </w:r>
      <w:r>
        <w:rPr>
          <w:rFonts w:cstheme="minorHAnsi"/>
          <w:lang w:val="en-US"/>
        </w:rPr>
        <w:t xml:space="preserve">30 June </w:t>
      </w:r>
      <w:r w:rsidRPr="005906CC">
        <w:rPr>
          <w:rFonts w:cstheme="minorHAnsi"/>
          <w:lang w:val="en-US"/>
        </w:rPr>
        <w:t>201</w:t>
      </w:r>
      <w:r>
        <w:rPr>
          <w:rFonts w:cstheme="minorHAnsi"/>
          <w:lang w:val="en-US"/>
        </w:rPr>
        <w:t>5 were identified</w:t>
      </w:r>
      <w:r w:rsidR="00D64CBA">
        <w:rPr>
          <w:rFonts w:cstheme="minorHAnsi"/>
          <w:lang w:val="en-US"/>
        </w:rPr>
        <w:t xml:space="preserve">. </w:t>
      </w:r>
    </w:p>
    <w:p w14:paraId="578D47C9" w14:textId="7B9C128C" w:rsidR="00DB6BD3" w:rsidRDefault="003B4E9E" w:rsidP="00AE5DC6">
      <w:pPr>
        <w:rPr>
          <w:rFonts w:cstheme="minorHAnsi"/>
          <w:lang w:val="en-US"/>
        </w:rPr>
      </w:pPr>
      <w:r>
        <w:rPr>
          <w:rFonts w:cstheme="minorHAnsi"/>
          <w:lang w:val="en-US"/>
        </w:rPr>
        <w:t xml:space="preserve">NRT was available </w:t>
      </w:r>
      <w:r w:rsidR="00D64CBA">
        <w:rPr>
          <w:rFonts w:cstheme="minorHAnsi"/>
          <w:lang w:val="en-US"/>
        </w:rPr>
        <w:t xml:space="preserve">on the PBS </w:t>
      </w:r>
      <w:r>
        <w:rPr>
          <w:rFonts w:cstheme="minorHAnsi"/>
          <w:lang w:val="en-US"/>
        </w:rPr>
        <w:t>as patches only before 1 Feb 2019 (gums and lozenges were subsidi</w:t>
      </w:r>
      <w:r w:rsidR="00171165">
        <w:rPr>
          <w:rFonts w:cstheme="minorHAnsi"/>
          <w:lang w:val="en-US"/>
        </w:rPr>
        <w:t>s</w:t>
      </w:r>
      <w:r>
        <w:rPr>
          <w:rFonts w:cstheme="minorHAnsi"/>
          <w:lang w:val="en-US"/>
        </w:rPr>
        <w:t xml:space="preserve">ed under the PBS after 1 Feb 2019) and analysis of dual use of different NRT formulations between 1 Feb 2019 and 30 Jun 2020 showed dual use of patch and gum to be 0.5%, while dual use of patch and lozenge to be 0.3% of overall NRT use in the period– thus </w:t>
      </w:r>
      <w:r w:rsidR="00D64CBA">
        <w:rPr>
          <w:rFonts w:cstheme="minorHAnsi"/>
          <w:lang w:val="en-US"/>
        </w:rPr>
        <w:t xml:space="preserve">because </w:t>
      </w:r>
      <w:r>
        <w:rPr>
          <w:rFonts w:cstheme="minorHAnsi"/>
          <w:lang w:val="en-US"/>
        </w:rPr>
        <w:t xml:space="preserve">dual use </w:t>
      </w:r>
      <w:r w:rsidR="00D64CBA">
        <w:rPr>
          <w:rFonts w:cstheme="minorHAnsi"/>
          <w:lang w:val="en-US"/>
        </w:rPr>
        <w:t xml:space="preserve">was not common it </w:t>
      </w:r>
      <w:r>
        <w:rPr>
          <w:rFonts w:cstheme="minorHAnsi"/>
          <w:lang w:val="en-US"/>
        </w:rPr>
        <w:t xml:space="preserve">is not reported separately in the results below. </w:t>
      </w:r>
    </w:p>
    <w:p w14:paraId="6207BF10" w14:textId="77777777" w:rsidR="00AE5DC6" w:rsidRDefault="00D64CBA" w:rsidP="00AE5DC6">
      <w:pPr>
        <w:rPr>
          <w:rFonts w:cstheme="minorHAnsi"/>
          <w:lang w:val="en-US"/>
        </w:rPr>
      </w:pPr>
      <w:r>
        <w:rPr>
          <w:rFonts w:cstheme="minorHAnsi"/>
          <w:lang w:val="en-US"/>
        </w:rPr>
        <w:t xml:space="preserve">The number of people initiating to smoking cessation products by medicine at initiation is presented in Table 4. </w:t>
      </w:r>
      <w:r w:rsidR="0027172A">
        <w:rPr>
          <w:rFonts w:cstheme="minorHAnsi"/>
          <w:lang w:val="en-US"/>
        </w:rPr>
        <w:t>Varenicline</w:t>
      </w:r>
      <w:r w:rsidR="00AE5DC6">
        <w:rPr>
          <w:rFonts w:cstheme="minorHAnsi"/>
          <w:lang w:val="en-US"/>
        </w:rPr>
        <w:t xml:space="preserve"> was the most commonly initiated </w:t>
      </w:r>
      <w:r w:rsidR="0027172A">
        <w:rPr>
          <w:rFonts w:cstheme="minorHAnsi"/>
          <w:lang w:val="en-US"/>
        </w:rPr>
        <w:t>medicine</w:t>
      </w:r>
      <w:r w:rsidR="00AE5DC6">
        <w:rPr>
          <w:rFonts w:cstheme="minorHAnsi"/>
          <w:lang w:val="en-US"/>
        </w:rPr>
        <w:t xml:space="preserve"> and the top </w:t>
      </w:r>
      <w:r w:rsidR="00D9657A">
        <w:rPr>
          <w:rFonts w:cstheme="minorHAnsi"/>
          <w:lang w:val="en-US"/>
        </w:rPr>
        <w:t>15</w:t>
      </w:r>
      <w:r w:rsidR="00AE5DC6">
        <w:rPr>
          <w:rFonts w:cstheme="minorHAnsi"/>
          <w:lang w:val="en-US"/>
        </w:rPr>
        <w:t xml:space="preserve"> sequences of care after its initiation are shown in Table </w:t>
      </w:r>
      <w:r w:rsidR="0027172A">
        <w:rPr>
          <w:rFonts w:cstheme="minorHAnsi"/>
          <w:lang w:val="en-US"/>
        </w:rPr>
        <w:t>5</w:t>
      </w:r>
      <w:r w:rsidR="00AE5DC6">
        <w:rPr>
          <w:rFonts w:cstheme="minorHAnsi"/>
          <w:lang w:val="en-US"/>
        </w:rPr>
        <w:t xml:space="preserve">. These </w:t>
      </w:r>
      <w:r>
        <w:rPr>
          <w:rFonts w:cstheme="minorHAnsi"/>
          <w:lang w:val="en-US"/>
        </w:rPr>
        <w:t>15</w:t>
      </w:r>
      <w:r w:rsidR="00AE5DC6">
        <w:rPr>
          <w:rFonts w:cstheme="minorHAnsi"/>
          <w:lang w:val="en-US"/>
        </w:rPr>
        <w:t xml:space="preserve"> sequences present therapies </w:t>
      </w:r>
      <w:r w:rsidR="00030E4C">
        <w:rPr>
          <w:rFonts w:cstheme="minorHAnsi"/>
          <w:lang w:val="en-US"/>
        </w:rPr>
        <w:t xml:space="preserve">including gaps in therapy </w:t>
      </w:r>
      <w:r w:rsidR="00AE5DC6">
        <w:rPr>
          <w:rFonts w:cstheme="minorHAnsi"/>
          <w:lang w:val="en-US"/>
        </w:rPr>
        <w:t xml:space="preserve">and account for </w:t>
      </w:r>
      <w:r w:rsidR="00030E4C">
        <w:rPr>
          <w:rFonts w:cstheme="minorHAnsi"/>
          <w:lang w:val="en-US"/>
        </w:rPr>
        <w:t>98.</w:t>
      </w:r>
      <w:r w:rsidR="00D9657A">
        <w:rPr>
          <w:rFonts w:cstheme="minorHAnsi"/>
          <w:lang w:val="en-US"/>
        </w:rPr>
        <w:t>7</w:t>
      </w:r>
      <w:r w:rsidR="00AE5DC6">
        <w:rPr>
          <w:rFonts w:cstheme="minorHAnsi"/>
          <w:lang w:val="en-US"/>
        </w:rPr>
        <w:t xml:space="preserve">% of all trajectories of care after </w:t>
      </w:r>
      <w:r w:rsidR="00030E4C">
        <w:rPr>
          <w:rFonts w:cstheme="minorHAnsi"/>
          <w:lang w:val="en-US"/>
        </w:rPr>
        <w:t>varenicline</w:t>
      </w:r>
      <w:r w:rsidR="00AE5DC6">
        <w:rPr>
          <w:rFonts w:cstheme="minorHAnsi"/>
          <w:lang w:val="en-US"/>
        </w:rPr>
        <w:t xml:space="preserve"> initiation.</w:t>
      </w:r>
      <w:r w:rsidR="002444C6">
        <w:rPr>
          <w:rFonts w:cstheme="minorHAnsi"/>
          <w:lang w:val="en-US"/>
        </w:rPr>
        <w:t xml:space="preserve"> </w:t>
      </w:r>
      <w:r w:rsidR="00D9657A">
        <w:rPr>
          <w:rFonts w:cstheme="minorHAnsi"/>
          <w:lang w:val="en-US"/>
        </w:rPr>
        <w:t>62</w:t>
      </w:r>
      <w:r w:rsidR="002444C6">
        <w:rPr>
          <w:rFonts w:cstheme="minorHAnsi"/>
          <w:lang w:val="en-US"/>
        </w:rPr>
        <w:t xml:space="preserve">% of people </w:t>
      </w:r>
      <w:r w:rsidR="00475812">
        <w:rPr>
          <w:rFonts w:cstheme="minorHAnsi"/>
          <w:lang w:val="en-US"/>
        </w:rPr>
        <w:t xml:space="preserve">made only one attempt to quit with </w:t>
      </w:r>
      <w:r w:rsidR="00D9657A">
        <w:rPr>
          <w:rFonts w:cstheme="minorHAnsi"/>
          <w:lang w:val="en-US"/>
        </w:rPr>
        <w:t>varenicline</w:t>
      </w:r>
      <w:r w:rsidR="00475812">
        <w:rPr>
          <w:rFonts w:cstheme="minorHAnsi"/>
          <w:lang w:val="en-US"/>
        </w:rPr>
        <w:t xml:space="preserve"> in the five year follow-up.</w:t>
      </w:r>
    </w:p>
    <w:p w14:paraId="5E39A8DE" w14:textId="77777777" w:rsidR="00FB72F7" w:rsidRDefault="00FB72F7">
      <w:pPr>
        <w:spacing w:after="0"/>
        <w:rPr>
          <w:rFonts w:cstheme="minorHAnsi"/>
          <w:b/>
          <w:lang w:val="en-US"/>
        </w:rPr>
      </w:pPr>
      <w:r>
        <w:rPr>
          <w:rFonts w:cstheme="minorHAnsi"/>
          <w:b/>
          <w:lang w:val="en-US"/>
        </w:rPr>
        <w:br w:type="page"/>
      </w:r>
    </w:p>
    <w:p w14:paraId="6510479B" w14:textId="77777777" w:rsidR="00AE5DC6" w:rsidRDefault="00AE5DC6" w:rsidP="00AE5DC6">
      <w:pPr>
        <w:rPr>
          <w:rFonts w:cstheme="minorHAnsi"/>
          <w:lang w:val="en-US"/>
        </w:rPr>
      </w:pPr>
      <w:r w:rsidRPr="008861F2">
        <w:rPr>
          <w:rFonts w:cstheme="minorHAnsi"/>
          <w:b/>
          <w:lang w:val="en-US"/>
        </w:rPr>
        <w:t xml:space="preserve">Table </w:t>
      </w:r>
      <w:r w:rsidR="0027172A">
        <w:rPr>
          <w:rFonts w:cstheme="minorHAnsi"/>
          <w:b/>
          <w:lang w:val="en-US"/>
        </w:rPr>
        <w:t>4</w:t>
      </w:r>
      <w:r>
        <w:rPr>
          <w:rFonts w:cstheme="minorHAnsi"/>
          <w:lang w:val="en-US"/>
        </w:rPr>
        <w:t>. Initiation of smoking cessation medicine between 2010 and 2015 – by type of medicine.</w:t>
      </w:r>
    </w:p>
    <w:tbl>
      <w:tblPr>
        <w:tblW w:w="7456" w:type="dxa"/>
        <w:tblInd w:w="93" w:type="dxa"/>
        <w:tblLook w:val="04A0" w:firstRow="1" w:lastRow="0" w:firstColumn="1" w:lastColumn="0" w:noHBand="0" w:noVBand="1"/>
      </w:tblPr>
      <w:tblGrid>
        <w:gridCol w:w="2031"/>
        <w:gridCol w:w="2266"/>
        <w:gridCol w:w="3159"/>
      </w:tblGrid>
      <w:tr w:rsidR="00C52B3C" w:rsidRPr="00CC1E71" w14:paraId="59D3DED8" w14:textId="77777777" w:rsidTr="000803DB">
        <w:trPr>
          <w:trHeight w:val="611"/>
        </w:trPr>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7E1EC" w14:textId="77777777" w:rsidR="00C52B3C" w:rsidRPr="00CC1E71" w:rsidRDefault="00C52B3C" w:rsidP="009F53B2">
            <w:pPr>
              <w:spacing w:after="0"/>
              <w:rPr>
                <w:rFonts w:ascii="Calibri" w:eastAsia="Times New Roman" w:hAnsi="Calibri" w:cs="Times New Roman"/>
                <w:color w:val="000000"/>
              </w:rPr>
            </w:pPr>
            <w:r>
              <w:rPr>
                <w:rFonts w:ascii="Calibri" w:eastAsia="Times New Roman" w:hAnsi="Calibri" w:cs="Times New Roman"/>
                <w:color w:val="000000"/>
              </w:rPr>
              <w:t>Medicine at initiation</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29C2E1B1" w14:textId="77777777" w:rsidR="00C52B3C" w:rsidRPr="00CC1E71" w:rsidRDefault="00C52B3C" w:rsidP="009F53B2">
            <w:pPr>
              <w:spacing w:after="0"/>
              <w:rPr>
                <w:rFonts w:ascii="Calibri" w:eastAsia="Times New Roman" w:hAnsi="Calibri" w:cs="Times New Roman"/>
                <w:color w:val="000000"/>
              </w:rPr>
            </w:pPr>
            <w:r>
              <w:rPr>
                <w:rFonts w:ascii="Calibri" w:eastAsia="Times New Roman" w:hAnsi="Calibri" w:cs="Times New Roman"/>
                <w:color w:val="000000"/>
              </w:rPr>
              <w:t>Number of people</w:t>
            </w:r>
          </w:p>
        </w:tc>
        <w:tc>
          <w:tcPr>
            <w:tcW w:w="3159" w:type="dxa"/>
            <w:tcBorders>
              <w:top w:val="single" w:sz="4" w:space="0" w:color="auto"/>
              <w:left w:val="nil"/>
              <w:bottom w:val="single" w:sz="4" w:space="0" w:color="auto"/>
              <w:right w:val="single" w:sz="4" w:space="0" w:color="auto"/>
            </w:tcBorders>
            <w:shd w:val="clear" w:color="auto" w:fill="auto"/>
            <w:noWrap/>
            <w:vAlign w:val="bottom"/>
            <w:hideMark/>
          </w:tcPr>
          <w:p w14:paraId="34591DAA" w14:textId="77777777" w:rsidR="00C52B3C" w:rsidRPr="00CC1E71" w:rsidRDefault="00C52B3C" w:rsidP="009F53B2">
            <w:pPr>
              <w:spacing w:after="0"/>
              <w:rPr>
                <w:rFonts w:ascii="Calibri" w:eastAsia="Times New Roman" w:hAnsi="Calibri" w:cs="Times New Roman"/>
                <w:color w:val="000000"/>
              </w:rPr>
            </w:pPr>
            <w:r>
              <w:rPr>
                <w:rFonts w:ascii="Calibri" w:eastAsia="Times New Roman" w:hAnsi="Calibri" w:cs="Times New Roman"/>
                <w:color w:val="000000"/>
              </w:rPr>
              <w:t>P</w:t>
            </w:r>
            <w:r w:rsidRPr="00CC1E71">
              <w:rPr>
                <w:rFonts w:ascii="Calibri" w:eastAsia="Times New Roman" w:hAnsi="Calibri" w:cs="Times New Roman"/>
                <w:color w:val="000000"/>
              </w:rPr>
              <w:t xml:space="preserve">ercent of all </w:t>
            </w:r>
            <w:r w:rsidR="000803DB">
              <w:rPr>
                <w:rFonts w:ascii="Calibri" w:eastAsia="Times New Roman" w:hAnsi="Calibri" w:cs="Times New Roman"/>
                <w:color w:val="000000"/>
              </w:rPr>
              <w:t xml:space="preserve">smoking cessation therapies </w:t>
            </w:r>
            <w:r>
              <w:rPr>
                <w:rFonts w:ascii="Calibri" w:eastAsia="Times New Roman" w:hAnsi="Calibri" w:cs="Times New Roman"/>
                <w:color w:val="000000"/>
              </w:rPr>
              <w:t>initiations</w:t>
            </w:r>
          </w:p>
        </w:tc>
      </w:tr>
      <w:tr w:rsidR="00C52B3C" w:rsidRPr="00CC1E71" w14:paraId="328633AE" w14:textId="77777777" w:rsidTr="000803DB">
        <w:trPr>
          <w:trHeight w:val="300"/>
        </w:trPr>
        <w:tc>
          <w:tcPr>
            <w:tcW w:w="2031" w:type="dxa"/>
            <w:tcBorders>
              <w:top w:val="nil"/>
              <w:left w:val="single" w:sz="4" w:space="0" w:color="auto"/>
              <w:bottom w:val="single" w:sz="4" w:space="0" w:color="auto"/>
              <w:right w:val="single" w:sz="4" w:space="0" w:color="auto"/>
            </w:tcBorders>
            <w:shd w:val="clear" w:color="auto" w:fill="auto"/>
            <w:noWrap/>
            <w:vAlign w:val="bottom"/>
            <w:hideMark/>
          </w:tcPr>
          <w:p w14:paraId="3018E760" w14:textId="77777777" w:rsidR="00C52B3C" w:rsidRPr="00CC1E71" w:rsidRDefault="00C52B3C" w:rsidP="009F53B2">
            <w:pPr>
              <w:spacing w:after="0"/>
              <w:rPr>
                <w:rFonts w:ascii="Calibri" w:eastAsia="Times New Roman" w:hAnsi="Calibri" w:cs="Times New Roman"/>
                <w:color w:val="000000"/>
              </w:rPr>
            </w:pPr>
            <w:r>
              <w:rPr>
                <w:rFonts w:ascii="Calibri" w:eastAsia="Times New Roman" w:hAnsi="Calibri" w:cs="Times New Roman"/>
                <w:color w:val="000000"/>
              </w:rPr>
              <w:t>Varenicline</w:t>
            </w:r>
          </w:p>
        </w:tc>
        <w:tc>
          <w:tcPr>
            <w:tcW w:w="2266" w:type="dxa"/>
            <w:tcBorders>
              <w:top w:val="nil"/>
              <w:left w:val="nil"/>
              <w:bottom w:val="single" w:sz="4" w:space="0" w:color="auto"/>
              <w:right w:val="single" w:sz="4" w:space="0" w:color="auto"/>
            </w:tcBorders>
            <w:shd w:val="clear" w:color="auto" w:fill="auto"/>
            <w:noWrap/>
            <w:vAlign w:val="bottom"/>
            <w:hideMark/>
          </w:tcPr>
          <w:p w14:paraId="46711EB9" w14:textId="77777777" w:rsidR="00C52B3C" w:rsidRPr="00CC1E71" w:rsidRDefault="00C52B3C" w:rsidP="009F53B2">
            <w:pPr>
              <w:spacing w:after="0"/>
              <w:jc w:val="right"/>
              <w:rPr>
                <w:rFonts w:ascii="Calibri" w:eastAsia="Times New Roman" w:hAnsi="Calibri" w:cs="Times New Roman"/>
                <w:color w:val="000000"/>
              </w:rPr>
            </w:pPr>
            <w:r>
              <w:rPr>
                <w:rFonts w:ascii="Calibri" w:eastAsia="Times New Roman" w:hAnsi="Calibri" w:cs="Times New Roman"/>
                <w:color w:val="000000"/>
              </w:rPr>
              <w:t>541</w:t>
            </w:r>
            <w:r w:rsidR="00DB6BD3">
              <w:rPr>
                <w:rFonts w:ascii="Calibri" w:eastAsia="Times New Roman" w:hAnsi="Calibri" w:cs="Times New Roman"/>
                <w:color w:val="000000"/>
              </w:rPr>
              <w:t>,</w:t>
            </w:r>
            <w:r>
              <w:rPr>
                <w:rFonts w:ascii="Calibri" w:eastAsia="Times New Roman" w:hAnsi="Calibri" w:cs="Times New Roman"/>
                <w:color w:val="000000"/>
              </w:rPr>
              <w:t>077</w:t>
            </w:r>
          </w:p>
        </w:tc>
        <w:tc>
          <w:tcPr>
            <w:tcW w:w="3159" w:type="dxa"/>
            <w:tcBorders>
              <w:top w:val="nil"/>
              <w:left w:val="nil"/>
              <w:bottom w:val="single" w:sz="4" w:space="0" w:color="auto"/>
              <w:right w:val="single" w:sz="4" w:space="0" w:color="auto"/>
            </w:tcBorders>
            <w:shd w:val="clear" w:color="000000" w:fill="FFFFFF"/>
            <w:noWrap/>
            <w:vAlign w:val="bottom"/>
            <w:hideMark/>
          </w:tcPr>
          <w:p w14:paraId="7CB478AB" w14:textId="77777777" w:rsidR="00C52B3C" w:rsidRPr="00CC1E71" w:rsidRDefault="0027172A" w:rsidP="009F53B2">
            <w:pPr>
              <w:spacing w:after="0"/>
              <w:jc w:val="right"/>
              <w:rPr>
                <w:rFonts w:ascii="Calibri" w:eastAsia="Times New Roman" w:hAnsi="Calibri" w:cs="Times New Roman"/>
                <w:color w:val="000000"/>
              </w:rPr>
            </w:pPr>
            <w:r>
              <w:rPr>
                <w:rFonts w:ascii="Calibri" w:eastAsia="Times New Roman" w:hAnsi="Calibri" w:cs="Times New Roman"/>
                <w:color w:val="000000"/>
              </w:rPr>
              <w:t>7</w:t>
            </w:r>
            <w:r w:rsidR="00C52B3C" w:rsidRPr="00CC1E71">
              <w:rPr>
                <w:rFonts w:ascii="Calibri" w:eastAsia="Times New Roman" w:hAnsi="Calibri" w:cs="Times New Roman"/>
                <w:color w:val="000000"/>
              </w:rPr>
              <w:t>3.</w:t>
            </w:r>
            <w:r>
              <w:rPr>
                <w:rFonts w:ascii="Calibri" w:eastAsia="Times New Roman" w:hAnsi="Calibri" w:cs="Times New Roman"/>
                <w:color w:val="000000"/>
              </w:rPr>
              <w:t>1</w:t>
            </w:r>
          </w:p>
        </w:tc>
      </w:tr>
      <w:tr w:rsidR="00C52B3C" w:rsidRPr="00CC1E71" w14:paraId="44C9D6C9" w14:textId="77777777" w:rsidTr="000803DB">
        <w:trPr>
          <w:trHeight w:val="300"/>
        </w:trPr>
        <w:tc>
          <w:tcPr>
            <w:tcW w:w="2031" w:type="dxa"/>
            <w:tcBorders>
              <w:top w:val="nil"/>
              <w:left w:val="single" w:sz="4" w:space="0" w:color="auto"/>
              <w:bottom w:val="single" w:sz="4" w:space="0" w:color="auto"/>
              <w:right w:val="single" w:sz="4" w:space="0" w:color="auto"/>
            </w:tcBorders>
            <w:shd w:val="clear" w:color="auto" w:fill="auto"/>
            <w:noWrap/>
            <w:vAlign w:val="bottom"/>
            <w:hideMark/>
          </w:tcPr>
          <w:p w14:paraId="617961EA" w14:textId="77777777" w:rsidR="00C52B3C" w:rsidRPr="00CC1E71" w:rsidRDefault="00C52B3C" w:rsidP="009F53B2">
            <w:pPr>
              <w:spacing w:after="0"/>
              <w:rPr>
                <w:rFonts w:ascii="Calibri" w:eastAsia="Times New Roman" w:hAnsi="Calibri" w:cs="Times New Roman"/>
                <w:color w:val="000000"/>
              </w:rPr>
            </w:pPr>
            <w:r>
              <w:rPr>
                <w:rFonts w:ascii="Calibri" w:eastAsia="Times New Roman" w:hAnsi="Calibri" w:cs="Times New Roman"/>
                <w:color w:val="000000"/>
              </w:rPr>
              <w:t>NRT</w:t>
            </w:r>
          </w:p>
        </w:tc>
        <w:tc>
          <w:tcPr>
            <w:tcW w:w="2266" w:type="dxa"/>
            <w:tcBorders>
              <w:top w:val="nil"/>
              <w:left w:val="nil"/>
              <w:bottom w:val="single" w:sz="4" w:space="0" w:color="auto"/>
              <w:right w:val="single" w:sz="4" w:space="0" w:color="auto"/>
            </w:tcBorders>
            <w:shd w:val="clear" w:color="auto" w:fill="auto"/>
            <w:noWrap/>
            <w:vAlign w:val="bottom"/>
            <w:hideMark/>
          </w:tcPr>
          <w:p w14:paraId="08AE47B2" w14:textId="77777777" w:rsidR="00C52B3C" w:rsidRPr="00CC1E71" w:rsidRDefault="00C52B3C" w:rsidP="009F53B2">
            <w:pPr>
              <w:spacing w:after="0"/>
              <w:jc w:val="right"/>
              <w:rPr>
                <w:rFonts w:ascii="Calibri" w:eastAsia="Times New Roman" w:hAnsi="Calibri" w:cs="Times New Roman"/>
                <w:color w:val="000000"/>
              </w:rPr>
            </w:pPr>
            <w:r>
              <w:rPr>
                <w:rFonts w:ascii="Calibri" w:eastAsia="Times New Roman" w:hAnsi="Calibri" w:cs="Times New Roman"/>
                <w:color w:val="000000"/>
              </w:rPr>
              <w:t>184</w:t>
            </w:r>
            <w:r w:rsidR="00DB6BD3">
              <w:rPr>
                <w:rFonts w:ascii="Calibri" w:eastAsia="Times New Roman" w:hAnsi="Calibri" w:cs="Times New Roman"/>
                <w:color w:val="000000"/>
              </w:rPr>
              <w:t>,</w:t>
            </w:r>
            <w:r>
              <w:rPr>
                <w:rFonts w:ascii="Calibri" w:eastAsia="Times New Roman" w:hAnsi="Calibri" w:cs="Times New Roman"/>
                <w:color w:val="000000"/>
              </w:rPr>
              <w:t>537</w:t>
            </w:r>
          </w:p>
        </w:tc>
        <w:tc>
          <w:tcPr>
            <w:tcW w:w="3159" w:type="dxa"/>
            <w:tcBorders>
              <w:top w:val="nil"/>
              <w:left w:val="nil"/>
              <w:bottom w:val="single" w:sz="4" w:space="0" w:color="auto"/>
              <w:right w:val="single" w:sz="4" w:space="0" w:color="auto"/>
            </w:tcBorders>
            <w:shd w:val="clear" w:color="000000" w:fill="FFFFFF"/>
            <w:noWrap/>
            <w:vAlign w:val="bottom"/>
            <w:hideMark/>
          </w:tcPr>
          <w:p w14:paraId="21012A8B" w14:textId="77777777" w:rsidR="00C52B3C" w:rsidRPr="00CC1E71" w:rsidRDefault="00C52B3C" w:rsidP="009F53B2">
            <w:pPr>
              <w:spacing w:after="0"/>
              <w:jc w:val="right"/>
              <w:rPr>
                <w:rFonts w:ascii="Calibri" w:eastAsia="Times New Roman" w:hAnsi="Calibri" w:cs="Times New Roman"/>
                <w:color w:val="000000"/>
              </w:rPr>
            </w:pPr>
            <w:r w:rsidRPr="00CC1E71">
              <w:rPr>
                <w:rFonts w:ascii="Calibri" w:eastAsia="Times New Roman" w:hAnsi="Calibri" w:cs="Times New Roman"/>
                <w:color w:val="000000"/>
              </w:rPr>
              <w:t>2</w:t>
            </w:r>
            <w:r w:rsidR="0027172A">
              <w:rPr>
                <w:rFonts w:ascii="Calibri" w:eastAsia="Times New Roman" w:hAnsi="Calibri" w:cs="Times New Roman"/>
                <w:color w:val="000000"/>
              </w:rPr>
              <w:t>4</w:t>
            </w:r>
            <w:r w:rsidRPr="00CC1E71">
              <w:rPr>
                <w:rFonts w:ascii="Calibri" w:eastAsia="Times New Roman" w:hAnsi="Calibri" w:cs="Times New Roman"/>
                <w:color w:val="000000"/>
              </w:rPr>
              <w:t>.9</w:t>
            </w:r>
          </w:p>
        </w:tc>
      </w:tr>
      <w:tr w:rsidR="00C52B3C" w:rsidRPr="00CC1E71" w14:paraId="7A653E14" w14:textId="77777777" w:rsidTr="000803DB">
        <w:trPr>
          <w:trHeight w:val="300"/>
        </w:trPr>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1B104" w14:textId="77777777" w:rsidR="00C52B3C" w:rsidRPr="00CC1E71" w:rsidRDefault="00C52B3C" w:rsidP="009F53B2">
            <w:pPr>
              <w:spacing w:after="0"/>
              <w:rPr>
                <w:rFonts w:ascii="Calibri" w:eastAsia="Times New Roman" w:hAnsi="Calibri" w:cs="Times New Roman"/>
                <w:color w:val="000000"/>
              </w:rPr>
            </w:pPr>
            <w:r>
              <w:rPr>
                <w:rFonts w:ascii="Calibri" w:eastAsia="Times New Roman" w:hAnsi="Calibri" w:cs="Times New Roman"/>
                <w:color w:val="000000"/>
              </w:rPr>
              <w:t>Bupropion</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0930B1AF" w14:textId="77777777" w:rsidR="00C52B3C" w:rsidRPr="00CC1E71" w:rsidRDefault="00C52B3C" w:rsidP="009F53B2">
            <w:pPr>
              <w:spacing w:after="0"/>
              <w:jc w:val="right"/>
              <w:rPr>
                <w:rFonts w:ascii="Calibri" w:eastAsia="Times New Roman" w:hAnsi="Calibri" w:cs="Times New Roman"/>
                <w:color w:val="000000"/>
              </w:rPr>
            </w:pPr>
            <w:r>
              <w:rPr>
                <w:rFonts w:ascii="Calibri" w:eastAsia="Times New Roman" w:hAnsi="Calibri" w:cs="Times New Roman"/>
                <w:color w:val="000000"/>
              </w:rPr>
              <w:t>14</w:t>
            </w:r>
            <w:r w:rsidR="00DB6BD3">
              <w:rPr>
                <w:rFonts w:ascii="Calibri" w:eastAsia="Times New Roman" w:hAnsi="Calibri" w:cs="Times New Roman"/>
                <w:color w:val="000000"/>
              </w:rPr>
              <w:t>,</w:t>
            </w:r>
            <w:r>
              <w:rPr>
                <w:rFonts w:ascii="Calibri" w:eastAsia="Times New Roman" w:hAnsi="Calibri" w:cs="Times New Roman"/>
                <w:color w:val="000000"/>
              </w:rPr>
              <w:t>468</w:t>
            </w:r>
          </w:p>
        </w:tc>
        <w:tc>
          <w:tcPr>
            <w:tcW w:w="3159" w:type="dxa"/>
            <w:tcBorders>
              <w:top w:val="single" w:sz="4" w:space="0" w:color="auto"/>
              <w:left w:val="nil"/>
              <w:bottom w:val="single" w:sz="4" w:space="0" w:color="auto"/>
              <w:right w:val="single" w:sz="4" w:space="0" w:color="auto"/>
            </w:tcBorders>
            <w:shd w:val="clear" w:color="auto" w:fill="auto"/>
            <w:noWrap/>
            <w:vAlign w:val="bottom"/>
            <w:hideMark/>
          </w:tcPr>
          <w:p w14:paraId="2C1D4823" w14:textId="77777777" w:rsidR="00C52B3C" w:rsidRPr="00CC1E71" w:rsidRDefault="00C52B3C" w:rsidP="009F53B2">
            <w:pPr>
              <w:spacing w:after="0"/>
              <w:jc w:val="right"/>
              <w:rPr>
                <w:rFonts w:ascii="Calibri" w:eastAsia="Times New Roman" w:hAnsi="Calibri" w:cs="Times New Roman"/>
                <w:color w:val="000000"/>
              </w:rPr>
            </w:pPr>
            <w:r w:rsidRPr="00CC1E71">
              <w:rPr>
                <w:rFonts w:ascii="Calibri" w:eastAsia="Times New Roman" w:hAnsi="Calibri" w:cs="Times New Roman"/>
                <w:color w:val="000000"/>
              </w:rPr>
              <w:t>2</w:t>
            </w:r>
            <w:r w:rsidR="0027172A">
              <w:rPr>
                <w:rFonts w:ascii="Calibri" w:eastAsia="Times New Roman" w:hAnsi="Calibri" w:cs="Times New Roman"/>
                <w:color w:val="000000"/>
              </w:rPr>
              <w:t>.0</w:t>
            </w:r>
          </w:p>
        </w:tc>
      </w:tr>
      <w:tr w:rsidR="00DB33D5" w:rsidRPr="0027172A" w14:paraId="0641CB58" w14:textId="77777777" w:rsidTr="000803DB">
        <w:trPr>
          <w:trHeight w:val="300"/>
        </w:trPr>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B7D87" w14:textId="77777777" w:rsidR="00DB33D5" w:rsidRPr="0027172A" w:rsidRDefault="00DB33D5" w:rsidP="009F53B2">
            <w:pPr>
              <w:spacing w:after="0"/>
              <w:rPr>
                <w:rFonts w:ascii="Calibri" w:eastAsia="Times New Roman" w:hAnsi="Calibri" w:cs="Times New Roman"/>
                <w:b/>
                <w:bCs/>
                <w:color w:val="000000"/>
              </w:rPr>
            </w:pPr>
            <w:r w:rsidRPr="0027172A">
              <w:rPr>
                <w:rFonts w:ascii="Calibri" w:eastAsia="Times New Roman" w:hAnsi="Calibri" w:cs="Times New Roman"/>
                <w:b/>
                <w:bCs/>
                <w:color w:val="000000"/>
              </w:rPr>
              <w:t>Total</w:t>
            </w:r>
          </w:p>
        </w:tc>
        <w:tc>
          <w:tcPr>
            <w:tcW w:w="2266" w:type="dxa"/>
            <w:tcBorders>
              <w:top w:val="single" w:sz="4" w:space="0" w:color="auto"/>
              <w:left w:val="nil"/>
              <w:bottom w:val="single" w:sz="4" w:space="0" w:color="auto"/>
              <w:right w:val="single" w:sz="4" w:space="0" w:color="auto"/>
            </w:tcBorders>
            <w:shd w:val="clear" w:color="auto" w:fill="auto"/>
            <w:noWrap/>
            <w:vAlign w:val="bottom"/>
          </w:tcPr>
          <w:p w14:paraId="68DB6C0C" w14:textId="77777777" w:rsidR="00DB33D5" w:rsidRPr="0027172A" w:rsidRDefault="00DB33D5" w:rsidP="009F53B2">
            <w:pPr>
              <w:spacing w:after="0"/>
              <w:jc w:val="right"/>
              <w:rPr>
                <w:rFonts w:ascii="Calibri" w:eastAsia="Times New Roman" w:hAnsi="Calibri" w:cs="Times New Roman"/>
                <w:b/>
                <w:bCs/>
                <w:color w:val="000000"/>
              </w:rPr>
            </w:pPr>
            <w:r w:rsidRPr="0027172A">
              <w:rPr>
                <w:rFonts w:ascii="Calibri" w:eastAsia="Times New Roman" w:hAnsi="Calibri" w:cs="Times New Roman"/>
                <w:b/>
                <w:bCs/>
                <w:color w:val="000000"/>
              </w:rPr>
              <w:t>740</w:t>
            </w:r>
            <w:r w:rsidR="00DB6BD3">
              <w:rPr>
                <w:rFonts w:ascii="Calibri" w:eastAsia="Times New Roman" w:hAnsi="Calibri" w:cs="Times New Roman"/>
                <w:b/>
                <w:bCs/>
                <w:color w:val="000000"/>
              </w:rPr>
              <w:t>,</w:t>
            </w:r>
            <w:r w:rsidRPr="0027172A">
              <w:rPr>
                <w:rFonts w:ascii="Calibri" w:eastAsia="Times New Roman" w:hAnsi="Calibri" w:cs="Times New Roman"/>
                <w:b/>
                <w:bCs/>
                <w:color w:val="000000"/>
              </w:rPr>
              <w:t>082</w:t>
            </w:r>
          </w:p>
        </w:tc>
        <w:tc>
          <w:tcPr>
            <w:tcW w:w="3159" w:type="dxa"/>
            <w:tcBorders>
              <w:top w:val="single" w:sz="4" w:space="0" w:color="auto"/>
              <w:left w:val="nil"/>
              <w:bottom w:val="single" w:sz="4" w:space="0" w:color="auto"/>
              <w:right w:val="single" w:sz="4" w:space="0" w:color="auto"/>
            </w:tcBorders>
            <w:shd w:val="clear" w:color="auto" w:fill="auto"/>
            <w:noWrap/>
            <w:vAlign w:val="bottom"/>
          </w:tcPr>
          <w:p w14:paraId="44CCF78E" w14:textId="77777777" w:rsidR="00DB33D5" w:rsidRPr="0027172A" w:rsidRDefault="0027172A" w:rsidP="009F53B2">
            <w:pPr>
              <w:spacing w:after="0"/>
              <w:jc w:val="right"/>
              <w:rPr>
                <w:rFonts w:ascii="Calibri" w:eastAsia="Times New Roman" w:hAnsi="Calibri" w:cs="Times New Roman"/>
                <w:b/>
                <w:bCs/>
                <w:color w:val="000000"/>
              </w:rPr>
            </w:pPr>
            <w:r w:rsidRPr="0027172A">
              <w:rPr>
                <w:rFonts w:ascii="Calibri" w:eastAsia="Times New Roman" w:hAnsi="Calibri" w:cs="Times New Roman"/>
                <w:b/>
                <w:bCs/>
                <w:color w:val="000000"/>
              </w:rPr>
              <w:t>100</w:t>
            </w:r>
          </w:p>
        </w:tc>
      </w:tr>
    </w:tbl>
    <w:p w14:paraId="2522B0C2" w14:textId="77777777" w:rsidR="00141886" w:rsidRDefault="00141886" w:rsidP="00141886">
      <w:pPr>
        <w:rPr>
          <w:lang w:eastAsia="en-US"/>
        </w:rPr>
      </w:pPr>
    </w:p>
    <w:p w14:paraId="3EE3C863" w14:textId="77777777" w:rsidR="00030E4C" w:rsidRDefault="00030E4C" w:rsidP="00030E4C">
      <w:pPr>
        <w:rPr>
          <w:rFonts w:cstheme="minorHAnsi"/>
          <w:lang w:val="en-US"/>
        </w:rPr>
      </w:pPr>
      <w:r w:rsidRPr="00243654">
        <w:rPr>
          <w:rFonts w:cstheme="minorHAnsi"/>
          <w:b/>
          <w:lang w:val="en-US"/>
        </w:rPr>
        <w:t xml:space="preserve">Table </w:t>
      </w:r>
      <w:r>
        <w:rPr>
          <w:rFonts w:cstheme="minorHAnsi"/>
          <w:b/>
          <w:lang w:val="en-US"/>
        </w:rPr>
        <w:t>5</w:t>
      </w:r>
      <w:r w:rsidRPr="00243654">
        <w:rPr>
          <w:rFonts w:cstheme="minorHAnsi"/>
          <w:b/>
          <w:lang w:val="en-US"/>
        </w:rPr>
        <w:t>.</w:t>
      </w:r>
      <w:r>
        <w:rPr>
          <w:rFonts w:cstheme="minorHAnsi"/>
          <w:lang w:val="en-US"/>
        </w:rPr>
        <w:t xml:space="preserve"> Top </w:t>
      </w:r>
      <w:r w:rsidR="00D9657A">
        <w:rPr>
          <w:rFonts w:cstheme="minorHAnsi"/>
          <w:lang w:val="en-US"/>
        </w:rPr>
        <w:t>15</w:t>
      </w:r>
      <w:r>
        <w:rPr>
          <w:rFonts w:cstheme="minorHAnsi"/>
          <w:lang w:val="en-US"/>
        </w:rPr>
        <w:t xml:space="preserve"> sequences after initiation of varenicline (N=541,077)</w:t>
      </w:r>
    </w:p>
    <w:tbl>
      <w:tblPr>
        <w:tblW w:w="8359" w:type="dxa"/>
        <w:tblLook w:val="04A0" w:firstRow="1" w:lastRow="0" w:firstColumn="1" w:lastColumn="0" w:noHBand="0" w:noVBand="1"/>
      </w:tblPr>
      <w:tblGrid>
        <w:gridCol w:w="4804"/>
        <w:gridCol w:w="1132"/>
        <w:gridCol w:w="1005"/>
        <w:gridCol w:w="1418"/>
      </w:tblGrid>
      <w:tr w:rsidR="0076518F" w:rsidRPr="00030E4C" w14:paraId="01E6E2E2" w14:textId="77777777" w:rsidTr="00D9657A">
        <w:trPr>
          <w:trHeight w:val="300"/>
        </w:trPr>
        <w:tc>
          <w:tcPr>
            <w:tcW w:w="4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B4380" w14:textId="77777777" w:rsidR="00030E4C" w:rsidRPr="00030E4C" w:rsidRDefault="00030E4C" w:rsidP="00030E4C">
            <w:pPr>
              <w:spacing w:after="0"/>
              <w:rPr>
                <w:rFonts w:ascii="Calibri" w:eastAsia="Times New Roman" w:hAnsi="Calibri" w:cs="Times New Roman"/>
                <w:color w:val="000000"/>
                <w:sz w:val="22"/>
                <w:szCs w:val="22"/>
              </w:rPr>
            </w:pPr>
            <w:r>
              <w:rPr>
                <w:rFonts w:ascii="Calibri" w:eastAsia="Times New Roman" w:hAnsi="Calibri" w:cs="Times New Roman"/>
                <w:color w:val="000000"/>
              </w:rPr>
              <w:t xml:space="preserve">Top </w:t>
            </w:r>
            <w:r w:rsidR="00D9657A">
              <w:rPr>
                <w:rFonts w:ascii="Calibri" w:eastAsia="Times New Roman" w:hAnsi="Calibri" w:cs="Times New Roman"/>
                <w:color w:val="000000"/>
              </w:rPr>
              <w:t>15</w:t>
            </w:r>
            <w:r>
              <w:rPr>
                <w:rFonts w:ascii="Calibri" w:eastAsia="Times New Roman" w:hAnsi="Calibri" w:cs="Times New Roman"/>
                <w:color w:val="000000"/>
              </w:rPr>
              <w:t xml:space="preserve"> sequences after varenicline initiation</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50A94E8E" w14:textId="77777777" w:rsidR="00030E4C" w:rsidRPr="00030E4C" w:rsidRDefault="00030E4C" w:rsidP="00030E4C">
            <w:pPr>
              <w:spacing w:after="0"/>
              <w:rPr>
                <w:rFonts w:ascii="Calibri" w:eastAsia="Times New Roman" w:hAnsi="Calibri" w:cs="Times New Roman"/>
                <w:color w:val="000000"/>
                <w:sz w:val="22"/>
                <w:szCs w:val="22"/>
              </w:rPr>
            </w:pPr>
            <w:r>
              <w:rPr>
                <w:rFonts w:ascii="Calibri" w:eastAsia="Times New Roman" w:hAnsi="Calibri" w:cs="Times New Roman"/>
                <w:color w:val="000000"/>
                <w:sz w:val="22"/>
                <w:szCs w:val="22"/>
              </w:rPr>
              <w:t>Number of people</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0A377B40" w14:textId="77777777" w:rsidR="00030E4C" w:rsidRPr="00030E4C" w:rsidRDefault="00030E4C" w:rsidP="00030E4C">
            <w:pPr>
              <w:spacing w:after="0"/>
              <w:rPr>
                <w:rFonts w:ascii="Calibri" w:eastAsia="Times New Roman" w:hAnsi="Calibri" w:cs="Times New Roman"/>
                <w:color w:val="000000"/>
                <w:sz w:val="22"/>
                <w:szCs w:val="22"/>
              </w:rPr>
            </w:pPr>
            <w:r>
              <w:rPr>
                <w:rFonts w:ascii="Calibri" w:eastAsia="Times New Roman" w:hAnsi="Calibri" w:cs="Times New Roman"/>
                <w:color w:val="000000"/>
                <w:sz w:val="22"/>
                <w:szCs w:val="22"/>
              </w:rPr>
              <w:t>P</w:t>
            </w:r>
            <w:r w:rsidRPr="00030E4C">
              <w:rPr>
                <w:rFonts w:ascii="Calibri" w:eastAsia="Times New Roman" w:hAnsi="Calibri" w:cs="Times New Roman"/>
                <w:color w:val="000000"/>
                <w:sz w:val="22"/>
                <w:szCs w:val="22"/>
              </w:rPr>
              <w:t>ercent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7FFBAD" w14:textId="77777777" w:rsidR="00030E4C" w:rsidRPr="00030E4C" w:rsidRDefault="00030E4C" w:rsidP="00030E4C">
            <w:pPr>
              <w:spacing w:after="0"/>
              <w:rPr>
                <w:rFonts w:ascii="Calibri" w:eastAsia="Times New Roman" w:hAnsi="Calibri" w:cs="Times New Roman"/>
                <w:color w:val="000000"/>
                <w:sz w:val="22"/>
                <w:szCs w:val="22"/>
              </w:rPr>
            </w:pPr>
            <w:r w:rsidRPr="00030E4C">
              <w:rPr>
                <w:rFonts w:ascii="Calibri" w:eastAsia="Times New Roman" w:hAnsi="Calibri" w:cs="Times New Roman"/>
                <w:color w:val="000000"/>
                <w:sz w:val="22"/>
                <w:szCs w:val="22"/>
              </w:rPr>
              <w:t>Cumulative percent</w:t>
            </w:r>
          </w:p>
        </w:tc>
      </w:tr>
      <w:tr w:rsidR="00D9657A" w:rsidRPr="00D9657A" w14:paraId="2C680BDC" w14:textId="77777777" w:rsidTr="00D9657A">
        <w:trPr>
          <w:trHeight w:val="300"/>
        </w:trPr>
        <w:tc>
          <w:tcPr>
            <w:tcW w:w="4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AB313"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Vare</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76D49181"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332899</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53DEFC25"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61.5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7C0211"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61.5</w:t>
            </w:r>
          </w:p>
        </w:tc>
      </w:tr>
      <w:tr w:rsidR="00D9657A" w:rsidRPr="00D9657A" w14:paraId="24883AE1"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2E9BCDEA"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Vare --&gt; Gap --&gt; Vare</w:t>
            </w:r>
          </w:p>
        </w:tc>
        <w:tc>
          <w:tcPr>
            <w:tcW w:w="1132" w:type="dxa"/>
            <w:tcBorders>
              <w:top w:val="nil"/>
              <w:left w:val="nil"/>
              <w:bottom w:val="single" w:sz="4" w:space="0" w:color="auto"/>
              <w:right w:val="single" w:sz="4" w:space="0" w:color="auto"/>
            </w:tcBorders>
            <w:shd w:val="clear" w:color="auto" w:fill="auto"/>
            <w:noWrap/>
            <w:vAlign w:val="bottom"/>
            <w:hideMark/>
          </w:tcPr>
          <w:p w14:paraId="2A375F6D"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97174</w:t>
            </w:r>
          </w:p>
        </w:tc>
        <w:tc>
          <w:tcPr>
            <w:tcW w:w="1005" w:type="dxa"/>
            <w:tcBorders>
              <w:top w:val="nil"/>
              <w:left w:val="nil"/>
              <w:bottom w:val="single" w:sz="4" w:space="0" w:color="auto"/>
              <w:right w:val="single" w:sz="4" w:space="0" w:color="auto"/>
            </w:tcBorders>
            <w:shd w:val="clear" w:color="auto" w:fill="auto"/>
            <w:noWrap/>
            <w:vAlign w:val="bottom"/>
            <w:hideMark/>
          </w:tcPr>
          <w:p w14:paraId="2954B523"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18</w:t>
            </w:r>
          </w:p>
        </w:tc>
        <w:tc>
          <w:tcPr>
            <w:tcW w:w="1418" w:type="dxa"/>
            <w:tcBorders>
              <w:top w:val="nil"/>
              <w:left w:val="nil"/>
              <w:bottom w:val="single" w:sz="4" w:space="0" w:color="auto"/>
              <w:right w:val="single" w:sz="4" w:space="0" w:color="auto"/>
            </w:tcBorders>
            <w:shd w:val="clear" w:color="auto" w:fill="auto"/>
            <w:noWrap/>
            <w:vAlign w:val="bottom"/>
            <w:hideMark/>
          </w:tcPr>
          <w:p w14:paraId="31B5BFB4"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79.5</w:t>
            </w:r>
          </w:p>
        </w:tc>
      </w:tr>
      <w:tr w:rsidR="00D9657A" w:rsidRPr="00D9657A" w14:paraId="1727B1D4"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19477F17"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Vare --&gt; Gap --&gt; Vare --&gt; Gap --&gt; Vare</w:t>
            </w:r>
          </w:p>
        </w:tc>
        <w:tc>
          <w:tcPr>
            <w:tcW w:w="1132" w:type="dxa"/>
            <w:tcBorders>
              <w:top w:val="nil"/>
              <w:left w:val="nil"/>
              <w:bottom w:val="single" w:sz="4" w:space="0" w:color="auto"/>
              <w:right w:val="single" w:sz="4" w:space="0" w:color="auto"/>
            </w:tcBorders>
            <w:shd w:val="clear" w:color="auto" w:fill="auto"/>
            <w:noWrap/>
            <w:vAlign w:val="bottom"/>
            <w:hideMark/>
          </w:tcPr>
          <w:p w14:paraId="66E3556B"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50262</w:t>
            </w:r>
          </w:p>
        </w:tc>
        <w:tc>
          <w:tcPr>
            <w:tcW w:w="1005" w:type="dxa"/>
            <w:tcBorders>
              <w:top w:val="nil"/>
              <w:left w:val="nil"/>
              <w:bottom w:val="single" w:sz="4" w:space="0" w:color="auto"/>
              <w:right w:val="single" w:sz="4" w:space="0" w:color="auto"/>
            </w:tcBorders>
            <w:shd w:val="clear" w:color="auto" w:fill="auto"/>
            <w:noWrap/>
            <w:vAlign w:val="bottom"/>
            <w:hideMark/>
          </w:tcPr>
          <w:p w14:paraId="3A50CF53"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9.3</w:t>
            </w:r>
          </w:p>
        </w:tc>
        <w:tc>
          <w:tcPr>
            <w:tcW w:w="1418" w:type="dxa"/>
            <w:tcBorders>
              <w:top w:val="nil"/>
              <w:left w:val="nil"/>
              <w:bottom w:val="single" w:sz="4" w:space="0" w:color="auto"/>
              <w:right w:val="single" w:sz="4" w:space="0" w:color="auto"/>
            </w:tcBorders>
            <w:shd w:val="clear" w:color="auto" w:fill="auto"/>
            <w:noWrap/>
            <w:vAlign w:val="bottom"/>
            <w:hideMark/>
          </w:tcPr>
          <w:p w14:paraId="492E7ABE"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88.8</w:t>
            </w:r>
          </w:p>
        </w:tc>
      </w:tr>
      <w:tr w:rsidR="00D9657A" w:rsidRPr="00D9657A" w14:paraId="0273186C"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68DDCD95"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Vare --&gt; Gap --&gt; Nico</w:t>
            </w:r>
          </w:p>
        </w:tc>
        <w:tc>
          <w:tcPr>
            <w:tcW w:w="1132" w:type="dxa"/>
            <w:tcBorders>
              <w:top w:val="nil"/>
              <w:left w:val="nil"/>
              <w:bottom w:val="single" w:sz="4" w:space="0" w:color="auto"/>
              <w:right w:val="single" w:sz="4" w:space="0" w:color="auto"/>
            </w:tcBorders>
            <w:shd w:val="clear" w:color="auto" w:fill="auto"/>
            <w:noWrap/>
            <w:vAlign w:val="bottom"/>
            <w:hideMark/>
          </w:tcPr>
          <w:p w14:paraId="2024B67B"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23488</w:t>
            </w:r>
          </w:p>
        </w:tc>
        <w:tc>
          <w:tcPr>
            <w:tcW w:w="1005" w:type="dxa"/>
            <w:tcBorders>
              <w:top w:val="nil"/>
              <w:left w:val="nil"/>
              <w:bottom w:val="single" w:sz="4" w:space="0" w:color="auto"/>
              <w:right w:val="single" w:sz="4" w:space="0" w:color="auto"/>
            </w:tcBorders>
            <w:shd w:val="clear" w:color="auto" w:fill="auto"/>
            <w:noWrap/>
            <w:vAlign w:val="bottom"/>
            <w:hideMark/>
          </w:tcPr>
          <w:p w14:paraId="3B794EFF"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4.3</w:t>
            </w:r>
          </w:p>
        </w:tc>
        <w:tc>
          <w:tcPr>
            <w:tcW w:w="1418" w:type="dxa"/>
            <w:tcBorders>
              <w:top w:val="nil"/>
              <w:left w:val="nil"/>
              <w:bottom w:val="single" w:sz="4" w:space="0" w:color="auto"/>
              <w:right w:val="single" w:sz="4" w:space="0" w:color="auto"/>
            </w:tcBorders>
            <w:shd w:val="clear" w:color="auto" w:fill="auto"/>
            <w:noWrap/>
            <w:vAlign w:val="bottom"/>
            <w:hideMark/>
          </w:tcPr>
          <w:p w14:paraId="37D85CF6"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93.1</w:t>
            </w:r>
          </w:p>
        </w:tc>
      </w:tr>
      <w:tr w:rsidR="00D9657A" w:rsidRPr="00D9657A" w14:paraId="17BFD321"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147C8C8D"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Vare --&gt; Gap --&gt; Nico --&gt; Gap --&gt; Nico</w:t>
            </w:r>
          </w:p>
        </w:tc>
        <w:tc>
          <w:tcPr>
            <w:tcW w:w="1132" w:type="dxa"/>
            <w:tcBorders>
              <w:top w:val="nil"/>
              <w:left w:val="nil"/>
              <w:bottom w:val="single" w:sz="4" w:space="0" w:color="auto"/>
              <w:right w:val="single" w:sz="4" w:space="0" w:color="auto"/>
            </w:tcBorders>
            <w:shd w:val="clear" w:color="auto" w:fill="auto"/>
            <w:noWrap/>
            <w:vAlign w:val="bottom"/>
            <w:hideMark/>
          </w:tcPr>
          <w:p w14:paraId="0928C23D"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9055</w:t>
            </w:r>
          </w:p>
        </w:tc>
        <w:tc>
          <w:tcPr>
            <w:tcW w:w="1005" w:type="dxa"/>
            <w:tcBorders>
              <w:top w:val="nil"/>
              <w:left w:val="nil"/>
              <w:bottom w:val="single" w:sz="4" w:space="0" w:color="auto"/>
              <w:right w:val="single" w:sz="4" w:space="0" w:color="auto"/>
            </w:tcBorders>
            <w:shd w:val="clear" w:color="auto" w:fill="auto"/>
            <w:noWrap/>
            <w:vAlign w:val="bottom"/>
            <w:hideMark/>
          </w:tcPr>
          <w:p w14:paraId="7BB04D70"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1.7</w:t>
            </w:r>
          </w:p>
        </w:tc>
        <w:tc>
          <w:tcPr>
            <w:tcW w:w="1418" w:type="dxa"/>
            <w:tcBorders>
              <w:top w:val="nil"/>
              <w:left w:val="nil"/>
              <w:bottom w:val="single" w:sz="4" w:space="0" w:color="auto"/>
              <w:right w:val="single" w:sz="4" w:space="0" w:color="auto"/>
            </w:tcBorders>
            <w:shd w:val="clear" w:color="auto" w:fill="auto"/>
            <w:noWrap/>
            <w:vAlign w:val="bottom"/>
            <w:hideMark/>
          </w:tcPr>
          <w:p w14:paraId="3597B321"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94.8</w:t>
            </w:r>
          </w:p>
        </w:tc>
      </w:tr>
      <w:tr w:rsidR="00D9657A" w:rsidRPr="00D9657A" w14:paraId="7A76DEF8"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3513602C"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 xml:space="preserve">Vare --&gt; Gap --&gt; Vare --&gt; Gap --&gt; Nico </w:t>
            </w:r>
          </w:p>
        </w:tc>
        <w:tc>
          <w:tcPr>
            <w:tcW w:w="1132" w:type="dxa"/>
            <w:tcBorders>
              <w:top w:val="nil"/>
              <w:left w:val="nil"/>
              <w:bottom w:val="single" w:sz="4" w:space="0" w:color="auto"/>
              <w:right w:val="single" w:sz="4" w:space="0" w:color="auto"/>
            </w:tcBorders>
            <w:shd w:val="clear" w:color="auto" w:fill="auto"/>
            <w:noWrap/>
            <w:vAlign w:val="bottom"/>
            <w:hideMark/>
          </w:tcPr>
          <w:p w14:paraId="435D40E4"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5960</w:t>
            </w:r>
          </w:p>
        </w:tc>
        <w:tc>
          <w:tcPr>
            <w:tcW w:w="1005" w:type="dxa"/>
            <w:tcBorders>
              <w:top w:val="nil"/>
              <w:left w:val="nil"/>
              <w:bottom w:val="single" w:sz="4" w:space="0" w:color="auto"/>
              <w:right w:val="single" w:sz="4" w:space="0" w:color="auto"/>
            </w:tcBorders>
            <w:shd w:val="clear" w:color="auto" w:fill="auto"/>
            <w:noWrap/>
            <w:vAlign w:val="bottom"/>
            <w:hideMark/>
          </w:tcPr>
          <w:p w14:paraId="6B8F3A8D"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1.1</w:t>
            </w:r>
          </w:p>
        </w:tc>
        <w:tc>
          <w:tcPr>
            <w:tcW w:w="1418" w:type="dxa"/>
            <w:tcBorders>
              <w:top w:val="nil"/>
              <w:left w:val="nil"/>
              <w:bottom w:val="single" w:sz="4" w:space="0" w:color="auto"/>
              <w:right w:val="single" w:sz="4" w:space="0" w:color="auto"/>
            </w:tcBorders>
            <w:shd w:val="clear" w:color="auto" w:fill="auto"/>
            <w:noWrap/>
            <w:vAlign w:val="bottom"/>
            <w:hideMark/>
          </w:tcPr>
          <w:p w14:paraId="70C61740"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95.9</w:t>
            </w:r>
          </w:p>
        </w:tc>
      </w:tr>
      <w:tr w:rsidR="00D9657A" w:rsidRPr="00D9657A" w14:paraId="58768E09"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3D54BF83"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 xml:space="preserve">Vare --&gt; Gap --&gt; Nico --&gt; Gap --&gt; Vare </w:t>
            </w:r>
          </w:p>
        </w:tc>
        <w:tc>
          <w:tcPr>
            <w:tcW w:w="1132" w:type="dxa"/>
            <w:tcBorders>
              <w:top w:val="nil"/>
              <w:left w:val="nil"/>
              <w:bottom w:val="single" w:sz="4" w:space="0" w:color="auto"/>
              <w:right w:val="single" w:sz="4" w:space="0" w:color="auto"/>
            </w:tcBorders>
            <w:shd w:val="clear" w:color="auto" w:fill="auto"/>
            <w:noWrap/>
            <w:vAlign w:val="bottom"/>
            <w:hideMark/>
          </w:tcPr>
          <w:p w14:paraId="7743E252"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5492</w:t>
            </w:r>
          </w:p>
        </w:tc>
        <w:tc>
          <w:tcPr>
            <w:tcW w:w="1005" w:type="dxa"/>
            <w:tcBorders>
              <w:top w:val="nil"/>
              <w:left w:val="nil"/>
              <w:bottom w:val="single" w:sz="4" w:space="0" w:color="auto"/>
              <w:right w:val="single" w:sz="4" w:space="0" w:color="auto"/>
            </w:tcBorders>
            <w:shd w:val="clear" w:color="auto" w:fill="auto"/>
            <w:noWrap/>
            <w:vAlign w:val="bottom"/>
            <w:hideMark/>
          </w:tcPr>
          <w:p w14:paraId="024E6CE9"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14:paraId="15B4E9B5"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96.9</w:t>
            </w:r>
          </w:p>
        </w:tc>
      </w:tr>
      <w:tr w:rsidR="00D9657A" w:rsidRPr="00D9657A" w14:paraId="3594AB80"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5733D279"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Vare --&gt; Gap --&gt; Bupr</w:t>
            </w:r>
          </w:p>
        </w:tc>
        <w:tc>
          <w:tcPr>
            <w:tcW w:w="1132" w:type="dxa"/>
            <w:tcBorders>
              <w:top w:val="nil"/>
              <w:left w:val="nil"/>
              <w:bottom w:val="single" w:sz="4" w:space="0" w:color="auto"/>
              <w:right w:val="single" w:sz="4" w:space="0" w:color="auto"/>
            </w:tcBorders>
            <w:shd w:val="clear" w:color="auto" w:fill="auto"/>
            <w:noWrap/>
            <w:vAlign w:val="bottom"/>
            <w:hideMark/>
          </w:tcPr>
          <w:p w14:paraId="7A1E58AD"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3817</w:t>
            </w:r>
          </w:p>
        </w:tc>
        <w:tc>
          <w:tcPr>
            <w:tcW w:w="1005" w:type="dxa"/>
            <w:tcBorders>
              <w:top w:val="nil"/>
              <w:left w:val="nil"/>
              <w:bottom w:val="single" w:sz="4" w:space="0" w:color="auto"/>
              <w:right w:val="single" w:sz="4" w:space="0" w:color="auto"/>
            </w:tcBorders>
            <w:shd w:val="clear" w:color="auto" w:fill="auto"/>
            <w:noWrap/>
            <w:vAlign w:val="bottom"/>
            <w:hideMark/>
          </w:tcPr>
          <w:p w14:paraId="793CD430"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0.7</w:t>
            </w:r>
          </w:p>
        </w:tc>
        <w:tc>
          <w:tcPr>
            <w:tcW w:w="1418" w:type="dxa"/>
            <w:tcBorders>
              <w:top w:val="nil"/>
              <w:left w:val="nil"/>
              <w:bottom w:val="single" w:sz="4" w:space="0" w:color="auto"/>
              <w:right w:val="single" w:sz="4" w:space="0" w:color="auto"/>
            </w:tcBorders>
            <w:shd w:val="clear" w:color="auto" w:fill="auto"/>
            <w:noWrap/>
            <w:vAlign w:val="bottom"/>
            <w:hideMark/>
          </w:tcPr>
          <w:p w14:paraId="2DA532A5"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97.6</w:t>
            </w:r>
          </w:p>
        </w:tc>
      </w:tr>
      <w:tr w:rsidR="00D9657A" w:rsidRPr="00D9657A" w14:paraId="77E6C1FC"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238412E3"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 xml:space="preserve">Vare --&gt; Gap --&gt; Bupr --&gt; Gap --&gt; Vare </w:t>
            </w:r>
          </w:p>
        </w:tc>
        <w:tc>
          <w:tcPr>
            <w:tcW w:w="1132" w:type="dxa"/>
            <w:tcBorders>
              <w:top w:val="nil"/>
              <w:left w:val="nil"/>
              <w:bottom w:val="single" w:sz="4" w:space="0" w:color="auto"/>
              <w:right w:val="single" w:sz="4" w:space="0" w:color="auto"/>
            </w:tcBorders>
            <w:shd w:val="clear" w:color="auto" w:fill="auto"/>
            <w:noWrap/>
            <w:vAlign w:val="bottom"/>
            <w:hideMark/>
          </w:tcPr>
          <w:p w14:paraId="1CD54996"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1183</w:t>
            </w:r>
          </w:p>
        </w:tc>
        <w:tc>
          <w:tcPr>
            <w:tcW w:w="1005" w:type="dxa"/>
            <w:tcBorders>
              <w:top w:val="nil"/>
              <w:left w:val="nil"/>
              <w:bottom w:val="single" w:sz="4" w:space="0" w:color="auto"/>
              <w:right w:val="single" w:sz="4" w:space="0" w:color="auto"/>
            </w:tcBorders>
            <w:shd w:val="clear" w:color="auto" w:fill="auto"/>
            <w:noWrap/>
            <w:vAlign w:val="bottom"/>
            <w:hideMark/>
          </w:tcPr>
          <w:p w14:paraId="3D74BF08"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0.2</w:t>
            </w:r>
          </w:p>
        </w:tc>
        <w:tc>
          <w:tcPr>
            <w:tcW w:w="1418" w:type="dxa"/>
            <w:tcBorders>
              <w:top w:val="nil"/>
              <w:left w:val="nil"/>
              <w:bottom w:val="single" w:sz="4" w:space="0" w:color="auto"/>
              <w:right w:val="single" w:sz="4" w:space="0" w:color="auto"/>
            </w:tcBorders>
            <w:shd w:val="clear" w:color="auto" w:fill="auto"/>
            <w:noWrap/>
            <w:vAlign w:val="bottom"/>
            <w:hideMark/>
          </w:tcPr>
          <w:p w14:paraId="42D170F2"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97.8</w:t>
            </w:r>
          </w:p>
        </w:tc>
      </w:tr>
      <w:tr w:rsidR="00D9657A" w:rsidRPr="00D9657A" w14:paraId="53E57492"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6AACEB16"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Vare --&gt; Nico</w:t>
            </w:r>
          </w:p>
        </w:tc>
        <w:tc>
          <w:tcPr>
            <w:tcW w:w="1132" w:type="dxa"/>
            <w:tcBorders>
              <w:top w:val="nil"/>
              <w:left w:val="nil"/>
              <w:bottom w:val="single" w:sz="4" w:space="0" w:color="auto"/>
              <w:right w:val="single" w:sz="4" w:space="0" w:color="auto"/>
            </w:tcBorders>
            <w:shd w:val="clear" w:color="auto" w:fill="auto"/>
            <w:noWrap/>
            <w:vAlign w:val="bottom"/>
            <w:hideMark/>
          </w:tcPr>
          <w:p w14:paraId="06C3A5A7"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910</w:t>
            </w:r>
          </w:p>
        </w:tc>
        <w:tc>
          <w:tcPr>
            <w:tcW w:w="1005" w:type="dxa"/>
            <w:tcBorders>
              <w:top w:val="nil"/>
              <w:left w:val="nil"/>
              <w:bottom w:val="single" w:sz="4" w:space="0" w:color="auto"/>
              <w:right w:val="single" w:sz="4" w:space="0" w:color="auto"/>
            </w:tcBorders>
            <w:shd w:val="clear" w:color="auto" w:fill="auto"/>
            <w:noWrap/>
            <w:vAlign w:val="bottom"/>
            <w:hideMark/>
          </w:tcPr>
          <w:p w14:paraId="1AB6B869"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0.2</w:t>
            </w:r>
          </w:p>
        </w:tc>
        <w:tc>
          <w:tcPr>
            <w:tcW w:w="1418" w:type="dxa"/>
            <w:tcBorders>
              <w:top w:val="nil"/>
              <w:left w:val="nil"/>
              <w:bottom w:val="single" w:sz="4" w:space="0" w:color="auto"/>
              <w:right w:val="single" w:sz="4" w:space="0" w:color="auto"/>
            </w:tcBorders>
            <w:shd w:val="clear" w:color="auto" w:fill="auto"/>
            <w:noWrap/>
            <w:vAlign w:val="bottom"/>
            <w:hideMark/>
          </w:tcPr>
          <w:p w14:paraId="6ECD4538"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98</w:t>
            </w:r>
          </w:p>
        </w:tc>
      </w:tr>
      <w:tr w:rsidR="00D9657A" w:rsidRPr="00D9657A" w14:paraId="5C57C070"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24B5EF5D"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 xml:space="preserve">Vare --&gt; Gap --&gt; Bupr --&gt; Gap --&gt; Bupr </w:t>
            </w:r>
          </w:p>
        </w:tc>
        <w:tc>
          <w:tcPr>
            <w:tcW w:w="1132" w:type="dxa"/>
            <w:tcBorders>
              <w:top w:val="nil"/>
              <w:left w:val="nil"/>
              <w:bottom w:val="single" w:sz="4" w:space="0" w:color="auto"/>
              <w:right w:val="single" w:sz="4" w:space="0" w:color="auto"/>
            </w:tcBorders>
            <w:shd w:val="clear" w:color="auto" w:fill="auto"/>
            <w:noWrap/>
            <w:vAlign w:val="bottom"/>
            <w:hideMark/>
          </w:tcPr>
          <w:p w14:paraId="72AC92F5"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894</w:t>
            </w:r>
          </w:p>
        </w:tc>
        <w:tc>
          <w:tcPr>
            <w:tcW w:w="1005" w:type="dxa"/>
            <w:tcBorders>
              <w:top w:val="nil"/>
              <w:left w:val="nil"/>
              <w:bottom w:val="single" w:sz="4" w:space="0" w:color="auto"/>
              <w:right w:val="single" w:sz="4" w:space="0" w:color="auto"/>
            </w:tcBorders>
            <w:shd w:val="clear" w:color="auto" w:fill="auto"/>
            <w:noWrap/>
            <w:vAlign w:val="bottom"/>
            <w:hideMark/>
          </w:tcPr>
          <w:p w14:paraId="618EA87A"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0.2</w:t>
            </w:r>
          </w:p>
        </w:tc>
        <w:tc>
          <w:tcPr>
            <w:tcW w:w="1418" w:type="dxa"/>
            <w:tcBorders>
              <w:top w:val="nil"/>
              <w:left w:val="nil"/>
              <w:bottom w:val="single" w:sz="4" w:space="0" w:color="auto"/>
              <w:right w:val="single" w:sz="4" w:space="0" w:color="auto"/>
            </w:tcBorders>
            <w:shd w:val="clear" w:color="auto" w:fill="auto"/>
            <w:noWrap/>
            <w:vAlign w:val="bottom"/>
            <w:hideMark/>
          </w:tcPr>
          <w:p w14:paraId="38E24AAE"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98.2</w:t>
            </w:r>
          </w:p>
        </w:tc>
      </w:tr>
      <w:tr w:rsidR="00D9657A" w:rsidRPr="00D9657A" w14:paraId="38A53949"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2D7E709D"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 xml:space="preserve">Vare --&gt; Gap --&gt; Vare --&gt; Gap --&gt; Bupr </w:t>
            </w:r>
          </w:p>
        </w:tc>
        <w:tc>
          <w:tcPr>
            <w:tcW w:w="1132" w:type="dxa"/>
            <w:tcBorders>
              <w:top w:val="nil"/>
              <w:left w:val="nil"/>
              <w:bottom w:val="single" w:sz="4" w:space="0" w:color="auto"/>
              <w:right w:val="single" w:sz="4" w:space="0" w:color="auto"/>
            </w:tcBorders>
            <w:shd w:val="clear" w:color="auto" w:fill="auto"/>
            <w:noWrap/>
            <w:vAlign w:val="bottom"/>
            <w:hideMark/>
          </w:tcPr>
          <w:p w14:paraId="66B30E66"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842</w:t>
            </w:r>
          </w:p>
        </w:tc>
        <w:tc>
          <w:tcPr>
            <w:tcW w:w="1005" w:type="dxa"/>
            <w:tcBorders>
              <w:top w:val="nil"/>
              <w:left w:val="nil"/>
              <w:bottom w:val="single" w:sz="4" w:space="0" w:color="auto"/>
              <w:right w:val="single" w:sz="4" w:space="0" w:color="auto"/>
            </w:tcBorders>
            <w:shd w:val="clear" w:color="auto" w:fill="auto"/>
            <w:noWrap/>
            <w:vAlign w:val="bottom"/>
            <w:hideMark/>
          </w:tcPr>
          <w:p w14:paraId="7E3C5750"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0.2</w:t>
            </w:r>
          </w:p>
        </w:tc>
        <w:tc>
          <w:tcPr>
            <w:tcW w:w="1418" w:type="dxa"/>
            <w:tcBorders>
              <w:top w:val="nil"/>
              <w:left w:val="nil"/>
              <w:bottom w:val="single" w:sz="4" w:space="0" w:color="auto"/>
              <w:right w:val="single" w:sz="4" w:space="0" w:color="auto"/>
            </w:tcBorders>
            <w:shd w:val="clear" w:color="auto" w:fill="auto"/>
            <w:noWrap/>
            <w:vAlign w:val="bottom"/>
            <w:hideMark/>
          </w:tcPr>
          <w:p w14:paraId="6BEE865B"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98.4</w:t>
            </w:r>
          </w:p>
        </w:tc>
      </w:tr>
      <w:tr w:rsidR="00D9657A" w:rsidRPr="00D9657A" w14:paraId="7B6F7935"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35937279"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Vare --&gt; Nico+Vare --&gt; Nico</w:t>
            </w:r>
          </w:p>
        </w:tc>
        <w:tc>
          <w:tcPr>
            <w:tcW w:w="1132" w:type="dxa"/>
            <w:tcBorders>
              <w:top w:val="nil"/>
              <w:left w:val="nil"/>
              <w:bottom w:val="single" w:sz="4" w:space="0" w:color="auto"/>
              <w:right w:val="single" w:sz="4" w:space="0" w:color="auto"/>
            </w:tcBorders>
            <w:shd w:val="clear" w:color="auto" w:fill="auto"/>
            <w:noWrap/>
            <w:vAlign w:val="bottom"/>
            <w:hideMark/>
          </w:tcPr>
          <w:p w14:paraId="749B5456"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708</w:t>
            </w:r>
          </w:p>
        </w:tc>
        <w:tc>
          <w:tcPr>
            <w:tcW w:w="1005" w:type="dxa"/>
            <w:tcBorders>
              <w:top w:val="nil"/>
              <w:left w:val="nil"/>
              <w:bottom w:val="single" w:sz="4" w:space="0" w:color="auto"/>
              <w:right w:val="single" w:sz="4" w:space="0" w:color="auto"/>
            </w:tcBorders>
            <w:shd w:val="clear" w:color="auto" w:fill="auto"/>
            <w:noWrap/>
            <w:vAlign w:val="bottom"/>
            <w:hideMark/>
          </w:tcPr>
          <w:p w14:paraId="05FF52EB"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0.1</w:t>
            </w:r>
          </w:p>
        </w:tc>
        <w:tc>
          <w:tcPr>
            <w:tcW w:w="1418" w:type="dxa"/>
            <w:tcBorders>
              <w:top w:val="nil"/>
              <w:left w:val="nil"/>
              <w:bottom w:val="single" w:sz="4" w:space="0" w:color="auto"/>
              <w:right w:val="single" w:sz="4" w:space="0" w:color="auto"/>
            </w:tcBorders>
            <w:shd w:val="clear" w:color="auto" w:fill="auto"/>
            <w:noWrap/>
            <w:vAlign w:val="bottom"/>
            <w:hideMark/>
          </w:tcPr>
          <w:p w14:paraId="2F1CB599"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98.5</w:t>
            </w:r>
          </w:p>
        </w:tc>
      </w:tr>
      <w:tr w:rsidR="00D9657A" w:rsidRPr="00D9657A" w14:paraId="39B03D13"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7E89E328"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Vare --&gt; Gap --&gt; Vare --&gt; Gap --&gt; Bupr</w:t>
            </w:r>
          </w:p>
        </w:tc>
        <w:tc>
          <w:tcPr>
            <w:tcW w:w="1132" w:type="dxa"/>
            <w:tcBorders>
              <w:top w:val="nil"/>
              <w:left w:val="nil"/>
              <w:bottom w:val="single" w:sz="4" w:space="0" w:color="auto"/>
              <w:right w:val="single" w:sz="4" w:space="0" w:color="auto"/>
            </w:tcBorders>
            <w:shd w:val="clear" w:color="auto" w:fill="auto"/>
            <w:noWrap/>
            <w:vAlign w:val="bottom"/>
            <w:hideMark/>
          </w:tcPr>
          <w:p w14:paraId="0ADC6DF2"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591</w:t>
            </w:r>
          </w:p>
        </w:tc>
        <w:tc>
          <w:tcPr>
            <w:tcW w:w="1005" w:type="dxa"/>
            <w:tcBorders>
              <w:top w:val="nil"/>
              <w:left w:val="nil"/>
              <w:bottom w:val="single" w:sz="4" w:space="0" w:color="auto"/>
              <w:right w:val="single" w:sz="4" w:space="0" w:color="auto"/>
            </w:tcBorders>
            <w:shd w:val="clear" w:color="auto" w:fill="auto"/>
            <w:noWrap/>
            <w:vAlign w:val="bottom"/>
            <w:hideMark/>
          </w:tcPr>
          <w:p w14:paraId="45728C7E"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0.1</w:t>
            </w:r>
          </w:p>
        </w:tc>
        <w:tc>
          <w:tcPr>
            <w:tcW w:w="1418" w:type="dxa"/>
            <w:tcBorders>
              <w:top w:val="nil"/>
              <w:left w:val="nil"/>
              <w:bottom w:val="single" w:sz="4" w:space="0" w:color="auto"/>
              <w:right w:val="single" w:sz="4" w:space="0" w:color="auto"/>
            </w:tcBorders>
            <w:shd w:val="clear" w:color="auto" w:fill="auto"/>
            <w:noWrap/>
            <w:vAlign w:val="bottom"/>
            <w:hideMark/>
          </w:tcPr>
          <w:p w14:paraId="5684A4B9"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98.6</w:t>
            </w:r>
          </w:p>
        </w:tc>
      </w:tr>
      <w:tr w:rsidR="00D9657A" w:rsidRPr="00D9657A" w14:paraId="5DB5C19B" w14:textId="77777777" w:rsidTr="00D9657A">
        <w:trPr>
          <w:trHeight w:val="300"/>
        </w:trPr>
        <w:tc>
          <w:tcPr>
            <w:tcW w:w="4804" w:type="dxa"/>
            <w:tcBorders>
              <w:top w:val="nil"/>
              <w:left w:val="single" w:sz="4" w:space="0" w:color="auto"/>
              <w:bottom w:val="single" w:sz="4" w:space="0" w:color="auto"/>
              <w:right w:val="single" w:sz="4" w:space="0" w:color="auto"/>
            </w:tcBorders>
            <w:shd w:val="clear" w:color="auto" w:fill="auto"/>
            <w:noWrap/>
            <w:vAlign w:val="bottom"/>
            <w:hideMark/>
          </w:tcPr>
          <w:p w14:paraId="3923E303"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Vare --&gt; Nico --&gt; Gap --&gt; Nico</w:t>
            </w:r>
          </w:p>
        </w:tc>
        <w:tc>
          <w:tcPr>
            <w:tcW w:w="1132" w:type="dxa"/>
            <w:tcBorders>
              <w:top w:val="nil"/>
              <w:left w:val="nil"/>
              <w:bottom w:val="single" w:sz="4" w:space="0" w:color="auto"/>
              <w:right w:val="single" w:sz="4" w:space="0" w:color="auto"/>
            </w:tcBorders>
            <w:shd w:val="clear" w:color="auto" w:fill="auto"/>
            <w:noWrap/>
            <w:vAlign w:val="bottom"/>
            <w:hideMark/>
          </w:tcPr>
          <w:p w14:paraId="30C8AD27"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295</w:t>
            </w:r>
          </w:p>
        </w:tc>
        <w:tc>
          <w:tcPr>
            <w:tcW w:w="1005" w:type="dxa"/>
            <w:tcBorders>
              <w:top w:val="nil"/>
              <w:left w:val="nil"/>
              <w:bottom w:val="single" w:sz="4" w:space="0" w:color="auto"/>
              <w:right w:val="single" w:sz="4" w:space="0" w:color="auto"/>
            </w:tcBorders>
            <w:shd w:val="clear" w:color="auto" w:fill="auto"/>
            <w:noWrap/>
            <w:vAlign w:val="bottom"/>
            <w:hideMark/>
          </w:tcPr>
          <w:p w14:paraId="1DA77A73"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0.1</w:t>
            </w:r>
          </w:p>
        </w:tc>
        <w:tc>
          <w:tcPr>
            <w:tcW w:w="1418" w:type="dxa"/>
            <w:tcBorders>
              <w:top w:val="nil"/>
              <w:left w:val="nil"/>
              <w:bottom w:val="single" w:sz="4" w:space="0" w:color="auto"/>
              <w:right w:val="single" w:sz="4" w:space="0" w:color="auto"/>
            </w:tcBorders>
            <w:shd w:val="clear" w:color="auto" w:fill="auto"/>
            <w:noWrap/>
            <w:vAlign w:val="bottom"/>
            <w:hideMark/>
          </w:tcPr>
          <w:p w14:paraId="3D1159FB"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98.7</w:t>
            </w:r>
          </w:p>
        </w:tc>
      </w:tr>
    </w:tbl>
    <w:p w14:paraId="20D145D4" w14:textId="77777777" w:rsidR="00030E4C" w:rsidRPr="00A963C0" w:rsidRDefault="00030E4C" w:rsidP="00030E4C">
      <w:pPr>
        <w:spacing w:after="0"/>
        <w:rPr>
          <w:rFonts w:cstheme="minorHAnsi"/>
          <w:i/>
          <w:sz w:val="20"/>
          <w:szCs w:val="20"/>
          <w:lang w:val="en-US"/>
        </w:rPr>
      </w:pPr>
      <w:r w:rsidRPr="00A963C0">
        <w:rPr>
          <w:rFonts w:cstheme="minorHAnsi"/>
          <w:sz w:val="20"/>
          <w:szCs w:val="20"/>
          <w:lang w:val="en-US"/>
        </w:rPr>
        <w:t xml:space="preserve">Legend: </w:t>
      </w:r>
      <w:r w:rsidRPr="00A963C0">
        <w:rPr>
          <w:rFonts w:cstheme="minorHAnsi"/>
          <w:i/>
          <w:sz w:val="20"/>
          <w:szCs w:val="20"/>
          <w:lang w:val="en-US"/>
        </w:rPr>
        <w:t xml:space="preserve">“+” denotes concurrent use of medicines; </w:t>
      </w:r>
    </w:p>
    <w:p w14:paraId="1770ACC9" w14:textId="77777777" w:rsidR="00030E4C" w:rsidRPr="00A963C0" w:rsidRDefault="00030E4C" w:rsidP="00030E4C">
      <w:pPr>
        <w:spacing w:after="0"/>
        <w:rPr>
          <w:rFonts w:cstheme="minorHAnsi"/>
          <w:i/>
          <w:sz w:val="20"/>
          <w:szCs w:val="20"/>
          <w:lang w:val="en-US"/>
        </w:rPr>
      </w:pPr>
      <w:r w:rsidRPr="00A963C0">
        <w:rPr>
          <w:rFonts w:cstheme="minorHAnsi"/>
          <w:i/>
          <w:sz w:val="20"/>
          <w:szCs w:val="20"/>
          <w:lang w:val="en-US"/>
        </w:rPr>
        <w:t xml:space="preserve">              “--&gt;” denotes transition from one therapy to another</w:t>
      </w:r>
    </w:p>
    <w:p w14:paraId="58A15B88" w14:textId="121EDFCF" w:rsidR="0027172A" w:rsidRDefault="00030E4C" w:rsidP="00030E4C">
      <w:pPr>
        <w:rPr>
          <w:rFonts w:cstheme="minorHAnsi"/>
          <w:sz w:val="20"/>
          <w:szCs w:val="20"/>
          <w:lang w:val="en-US"/>
        </w:rPr>
      </w:pPr>
      <w:r>
        <w:rPr>
          <w:rFonts w:cstheme="minorHAnsi"/>
          <w:sz w:val="20"/>
          <w:szCs w:val="20"/>
          <w:lang w:val="en-US"/>
        </w:rPr>
        <w:t>Vare</w:t>
      </w:r>
      <w:r w:rsidRPr="00A963C0">
        <w:rPr>
          <w:rFonts w:cstheme="minorHAnsi"/>
          <w:sz w:val="20"/>
          <w:szCs w:val="20"/>
          <w:lang w:val="en-US"/>
        </w:rPr>
        <w:t xml:space="preserve"> = </w:t>
      </w:r>
      <w:r w:rsidR="006B454E">
        <w:rPr>
          <w:rFonts w:cstheme="minorHAnsi"/>
          <w:sz w:val="20"/>
          <w:szCs w:val="20"/>
          <w:lang w:val="en-US"/>
        </w:rPr>
        <w:t>Va</w:t>
      </w:r>
      <w:r>
        <w:rPr>
          <w:rFonts w:cstheme="minorHAnsi"/>
          <w:sz w:val="20"/>
          <w:szCs w:val="20"/>
          <w:lang w:val="en-US"/>
        </w:rPr>
        <w:t>renicline</w:t>
      </w:r>
      <w:r w:rsidRPr="00A963C0">
        <w:rPr>
          <w:rFonts w:cstheme="minorHAnsi"/>
          <w:sz w:val="20"/>
          <w:szCs w:val="20"/>
          <w:lang w:val="en-US"/>
        </w:rPr>
        <w:t xml:space="preserve">; </w:t>
      </w:r>
      <w:r>
        <w:rPr>
          <w:rFonts w:cstheme="minorHAnsi"/>
          <w:sz w:val="20"/>
          <w:szCs w:val="20"/>
          <w:lang w:val="en-US"/>
        </w:rPr>
        <w:t>NRT</w:t>
      </w:r>
      <w:r w:rsidRPr="00A963C0">
        <w:rPr>
          <w:rFonts w:cstheme="minorHAnsi"/>
          <w:sz w:val="20"/>
          <w:szCs w:val="20"/>
          <w:lang w:val="en-US"/>
        </w:rPr>
        <w:t xml:space="preserve"> = </w:t>
      </w:r>
      <w:r>
        <w:rPr>
          <w:rFonts w:cstheme="minorHAnsi"/>
          <w:sz w:val="20"/>
          <w:szCs w:val="20"/>
          <w:lang w:val="en-US"/>
        </w:rPr>
        <w:t>Nicotine Replacement Therapy; Bupr = Bupropion; Gap – gap in therapy</w:t>
      </w:r>
    </w:p>
    <w:p w14:paraId="4141594E" w14:textId="77777777" w:rsidR="00D64CBA" w:rsidRDefault="00D64CBA">
      <w:pPr>
        <w:spacing w:after="0"/>
        <w:rPr>
          <w:rFonts w:cstheme="minorHAnsi"/>
          <w:lang w:val="en-US"/>
        </w:rPr>
      </w:pPr>
      <w:r>
        <w:rPr>
          <w:rFonts w:cstheme="minorHAnsi"/>
          <w:lang w:val="en-US"/>
        </w:rPr>
        <w:br w:type="page"/>
      </w:r>
    </w:p>
    <w:p w14:paraId="030BEA91" w14:textId="77777777" w:rsidR="00D64CBA" w:rsidRDefault="00D64CBA" w:rsidP="00D64CBA">
      <w:pPr>
        <w:rPr>
          <w:rFonts w:cstheme="minorHAnsi"/>
          <w:lang w:val="en-US"/>
        </w:rPr>
      </w:pPr>
      <w:r>
        <w:rPr>
          <w:rFonts w:cstheme="minorHAnsi"/>
          <w:lang w:val="en-US"/>
        </w:rPr>
        <w:t>Table 6 shows the top 15 sequences after NRT initiation which account for 97.2% of all trajectories. 55% of people made only one attempt with NRT over 5 years.</w:t>
      </w:r>
    </w:p>
    <w:p w14:paraId="7B327F5C" w14:textId="77777777" w:rsidR="00DB6BD3" w:rsidRDefault="00DB6BD3" w:rsidP="00DB6BD3">
      <w:pPr>
        <w:rPr>
          <w:rFonts w:cstheme="minorHAnsi"/>
          <w:lang w:val="en-US"/>
        </w:rPr>
      </w:pPr>
      <w:r w:rsidRPr="00243654">
        <w:rPr>
          <w:rFonts w:cstheme="minorHAnsi"/>
          <w:b/>
          <w:lang w:val="en-US"/>
        </w:rPr>
        <w:t xml:space="preserve">Table </w:t>
      </w:r>
      <w:r>
        <w:rPr>
          <w:rFonts w:cstheme="minorHAnsi"/>
          <w:b/>
          <w:lang w:val="en-US"/>
        </w:rPr>
        <w:t>6</w:t>
      </w:r>
      <w:r w:rsidRPr="00243654">
        <w:rPr>
          <w:rFonts w:cstheme="minorHAnsi"/>
          <w:b/>
          <w:lang w:val="en-US"/>
        </w:rPr>
        <w:t>.</w:t>
      </w:r>
      <w:r>
        <w:rPr>
          <w:rFonts w:cstheme="minorHAnsi"/>
          <w:lang w:val="en-US"/>
        </w:rPr>
        <w:t xml:space="preserve"> Top </w:t>
      </w:r>
      <w:r w:rsidR="00D9657A">
        <w:rPr>
          <w:rFonts w:cstheme="minorHAnsi"/>
          <w:lang w:val="en-US"/>
        </w:rPr>
        <w:t>15</w:t>
      </w:r>
      <w:r>
        <w:rPr>
          <w:rFonts w:cstheme="minorHAnsi"/>
          <w:lang w:val="en-US"/>
        </w:rPr>
        <w:t xml:space="preserve"> sequences after initiation of NRT (N=184,537)</w:t>
      </w:r>
    </w:p>
    <w:tbl>
      <w:tblPr>
        <w:tblW w:w="8380" w:type="dxa"/>
        <w:tblLook w:val="04A0" w:firstRow="1" w:lastRow="0" w:firstColumn="1" w:lastColumn="0" w:noHBand="0" w:noVBand="1"/>
      </w:tblPr>
      <w:tblGrid>
        <w:gridCol w:w="4815"/>
        <w:gridCol w:w="1134"/>
        <w:gridCol w:w="992"/>
        <w:gridCol w:w="1439"/>
      </w:tblGrid>
      <w:tr w:rsidR="0076518F" w:rsidRPr="0076518F" w14:paraId="7487A95D" w14:textId="77777777" w:rsidTr="00D9657A">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DF96" w14:textId="77777777" w:rsidR="0076518F" w:rsidRPr="0076518F" w:rsidRDefault="0076518F" w:rsidP="0076518F">
            <w:pPr>
              <w:spacing w:after="0"/>
              <w:rPr>
                <w:rFonts w:ascii="Calibri" w:eastAsia="Times New Roman" w:hAnsi="Calibri" w:cs="Times New Roman"/>
                <w:color w:val="000000"/>
                <w:sz w:val="22"/>
                <w:szCs w:val="22"/>
              </w:rPr>
            </w:pPr>
            <w:r>
              <w:rPr>
                <w:rFonts w:ascii="Calibri" w:eastAsia="Times New Roman" w:hAnsi="Calibri" w:cs="Times New Roman"/>
                <w:color w:val="000000"/>
              </w:rPr>
              <w:t xml:space="preserve">Top </w:t>
            </w:r>
            <w:r w:rsidR="00D9657A">
              <w:rPr>
                <w:rFonts w:ascii="Calibri" w:eastAsia="Times New Roman" w:hAnsi="Calibri" w:cs="Times New Roman"/>
                <w:color w:val="000000"/>
              </w:rPr>
              <w:t>15</w:t>
            </w:r>
            <w:r>
              <w:rPr>
                <w:rFonts w:ascii="Calibri" w:eastAsia="Times New Roman" w:hAnsi="Calibri" w:cs="Times New Roman"/>
                <w:color w:val="000000"/>
              </w:rPr>
              <w:t xml:space="preserve"> sequences after NRT initiation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F2A754E" w14:textId="77777777" w:rsidR="0076518F" w:rsidRPr="0076518F" w:rsidRDefault="0076518F" w:rsidP="0076518F">
            <w:pPr>
              <w:spacing w:after="0"/>
              <w:rPr>
                <w:rFonts w:ascii="Calibri" w:eastAsia="Times New Roman" w:hAnsi="Calibri" w:cs="Times New Roman"/>
                <w:color w:val="000000"/>
                <w:sz w:val="22"/>
                <w:szCs w:val="22"/>
              </w:rPr>
            </w:pPr>
            <w:r>
              <w:rPr>
                <w:rFonts w:ascii="Calibri" w:eastAsia="Times New Roman" w:hAnsi="Calibri" w:cs="Times New Roman"/>
                <w:color w:val="000000"/>
                <w:sz w:val="22"/>
                <w:szCs w:val="22"/>
              </w:rPr>
              <w:t>Number of people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E2F5D3" w14:textId="77777777" w:rsidR="0076518F" w:rsidRPr="0076518F" w:rsidRDefault="0076518F" w:rsidP="0076518F">
            <w:pPr>
              <w:spacing w:after="0"/>
              <w:rPr>
                <w:rFonts w:ascii="Calibri" w:eastAsia="Times New Roman" w:hAnsi="Calibri" w:cs="Times New Roman"/>
                <w:color w:val="000000"/>
                <w:sz w:val="22"/>
                <w:szCs w:val="22"/>
              </w:rPr>
            </w:pPr>
            <w:r>
              <w:rPr>
                <w:rFonts w:ascii="Calibri" w:eastAsia="Times New Roman" w:hAnsi="Calibri" w:cs="Times New Roman"/>
                <w:color w:val="000000"/>
                <w:sz w:val="22"/>
                <w:szCs w:val="22"/>
              </w:rPr>
              <w:t>P</w:t>
            </w:r>
            <w:r w:rsidRPr="0076518F">
              <w:rPr>
                <w:rFonts w:ascii="Calibri" w:eastAsia="Times New Roman" w:hAnsi="Calibri" w:cs="Times New Roman"/>
                <w:color w:val="000000"/>
                <w:sz w:val="22"/>
                <w:szCs w:val="22"/>
              </w:rPr>
              <w:t>ercent</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3FFD53E1" w14:textId="77777777" w:rsidR="0076518F" w:rsidRPr="0076518F" w:rsidRDefault="0076518F" w:rsidP="0076518F">
            <w:pPr>
              <w:spacing w:after="0"/>
              <w:rPr>
                <w:rFonts w:ascii="Calibri" w:eastAsia="Times New Roman" w:hAnsi="Calibri" w:cs="Times New Roman"/>
                <w:color w:val="000000"/>
                <w:sz w:val="22"/>
                <w:szCs w:val="22"/>
              </w:rPr>
            </w:pPr>
            <w:r>
              <w:rPr>
                <w:rFonts w:ascii="Calibri" w:eastAsia="Times New Roman" w:hAnsi="Calibri" w:cs="Times New Roman"/>
                <w:color w:val="000000"/>
                <w:sz w:val="22"/>
                <w:szCs w:val="22"/>
              </w:rPr>
              <w:t>Cumulative percent</w:t>
            </w:r>
          </w:p>
        </w:tc>
      </w:tr>
      <w:tr w:rsidR="00D9657A" w:rsidRPr="00D9657A" w14:paraId="0D5BC838" w14:textId="77777777" w:rsidTr="00D9657A">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51B2"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03FC559"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102186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82BD34"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55.4</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7A12D83"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55.4</w:t>
            </w:r>
          </w:p>
        </w:tc>
      </w:tr>
      <w:tr w:rsidR="00D9657A" w:rsidRPr="00D9657A" w14:paraId="6307CD17"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51CC6B7"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Gap --&gt; Nico</w:t>
            </w:r>
          </w:p>
        </w:tc>
        <w:tc>
          <w:tcPr>
            <w:tcW w:w="1134" w:type="dxa"/>
            <w:tcBorders>
              <w:top w:val="nil"/>
              <w:left w:val="nil"/>
              <w:bottom w:val="single" w:sz="4" w:space="0" w:color="auto"/>
              <w:right w:val="single" w:sz="4" w:space="0" w:color="auto"/>
            </w:tcBorders>
            <w:shd w:val="clear" w:color="auto" w:fill="auto"/>
            <w:noWrap/>
            <w:vAlign w:val="bottom"/>
            <w:hideMark/>
          </w:tcPr>
          <w:p w14:paraId="0C002111"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28375</w:t>
            </w:r>
          </w:p>
        </w:tc>
        <w:tc>
          <w:tcPr>
            <w:tcW w:w="992" w:type="dxa"/>
            <w:tcBorders>
              <w:top w:val="nil"/>
              <w:left w:val="nil"/>
              <w:bottom w:val="single" w:sz="4" w:space="0" w:color="auto"/>
              <w:right w:val="single" w:sz="4" w:space="0" w:color="auto"/>
            </w:tcBorders>
            <w:shd w:val="clear" w:color="auto" w:fill="auto"/>
            <w:noWrap/>
            <w:vAlign w:val="bottom"/>
            <w:hideMark/>
          </w:tcPr>
          <w:p w14:paraId="7C0140B2"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15.4</w:t>
            </w:r>
          </w:p>
        </w:tc>
        <w:tc>
          <w:tcPr>
            <w:tcW w:w="1439" w:type="dxa"/>
            <w:tcBorders>
              <w:top w:val="nil"/>
              <w:left w:val="nil"/>
              <w:bottom w:val="single" w:sz="4" w:space="0" w:color="auto"/>
              <w:right w:val="single" w:sz="4" w:space="0" w:color="auto"/>
            </w:tcBorders>
            <w:shd w:val="clear" w:color="auto" w:fill="auto"/>
            <w:noWrap/>
            <w:vAlign w:val="bottom"/>
            <w:hideMark/>
          </w:tcPr>
          <w:p w14:paraId="571BDD5B"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70.8</w:t>
            </w:r>
          </w:p>
        </w:tc>
      </w:tr>
      <w:tr w:rsidR="00D9657A" w:rsidRPr="00D9657A" w14:paraId="4F902A07"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D53CDD0"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Gap --&gt; Nico --&gt; Gap --&gt; Nico</w:t>
            </w:r>
          </w:p>
        </w:tc>
        <w:tc>
          <w:tcPr>
            <w:tcW w:w="1134" w:type="dxa"/>
            <w:tcBorders>
              <w:top w:val="nil"/>
              <w:left w:val="nil"/>
              <w:bottom w:val="single" w:sz="4" w:space="0" w:color="auto"/>
              <w:right w:val="single" w:sz="4" w:space="0" w:color="auto"/>
            </w:tcBorders>
            <w:shd w:val="clear" w:color="auto" w:fill="auto"/>
            <w:noWrap/>
            <w:vAlign w:val="bottom"/>
            <w:hideMark/>
          </w:tcPr>
          <w:p w14:paraId="530B71F6"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18265</w:t>
            </w:r>
          </w:p>
        </w:tc>
        <w:tc>
          <w:tcPr>
            <w:tcW w:w="992" w:type="dxa"/>
            <w:tcBorders>
              <w:top w:val="nil"/>
              <w:left w:val="nil"/>
              <w:bottom w:val="single" w:sz="4" w:space="0" w:color="auto"/>
              <w:right w:val="single" w:sz="4" w:space="0" w:color="auto"/>
            </w:tcBorders>
            <w:shd w:val="clear" w:color="auto" w:fill="auto"/>
            <w:noWrap/>
            <w:vAlign w:val="bottom"/>
            <w:hideMark/>
          </w:tcPr>
          <w:p w14:paraId="791FDC8E"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9.9</w:t>
            </w:r>
          </w:p>
        </w:tc>
        <w:tc>
          <w:tcPr>
            <w:tcW w:w="1439" w:type="dxa"/>
            <w:tcBorders>
              <w:top w:val="nil"/>
              <w:left w:val="nil"/>
              <w:bottom w:val="single" w:sz="4" w:space="0" w:color="auto"/>
              <w:right w:val="single" w:sz="4" w:space="0" w:color="auto"/>
            </w:tcBorders>
            <w:shd w:val="clear" w:color="auto" w:fill="auto"/>
            <w:noWrap/>
            <w:vAlign w:val="bottom"/>
            <w:hideMark/>
          </w:tcPr>
          <w:p w14:paraId="565D2CE5"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80.7</w:t>
            </w:r>
          </w:p>
        </w:tc>
      </w:tr>
      <w:tr w:rsidR="00D9657A" w:rsidRPr="00D9657A" w14:paraId="41E46BAB"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8A92A67"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Gap --&gt; Vare</w:t>
            </w:r>
          </w:p>
        </w:tc>
        <w:tc>
          <w:tcPr>
            <w:tcW w:w="1134" w:type="dxa"/>
            <w:tcBorders>
              <w:top w:val="nil"/>
              <w:left w:val="nil"/>
              <w:bottom w:val="single" w:sz="4" w:space="0" w:color="auto"/>
              <w:right w:val="single" w:sz="4" w:space="0" w:color="auto"/>
            </w:tcBorders>
            <w:shd w:val="clear" w:color="auto" w:fill="auto"/>
            <w:noWrap/>
            <w:vAlign w:val="bottom"/>
            <w:hideMark/>
          </w:tcPr>
          <w:p w14:paraId="3CCCA5C8"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14668</w:t>
            </w:r>
          </w:p>
        </w:tc>
        <w:tc>
          <w:tcPr>
            <w:tcW w:w="992" w:type="dxa"/>
            <w:tcBorders>
              <w:top w:val="nil"/>
              <w:left w:val="nil"/>
              <w:bottom w:val="single" w:sz="4" w:space="0" w:color="auto"/>
              <w:right w:val="single" w:sz="4" w:space="0" w:color="auto"/>
            </w:tcBorders>
            <w:shd w:val="clear" w:color="auto" w:fill="auto"/>
            <w:noWrap/>
            <w:vAlign w:val="bottom"/>
            <w:hideMark/>
          </w:tcPr>
          <w:p w14:paraId="1200C6DF"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7.9</w:t>
            </w:r>
          </w:p>
        </w:tc>
        <w:tc>
          <w:tcPr>
            <w:tcW w:w="1439" w:type="dxa"/>
            <w:tcBorders>
              <w:top w:val="nil"/>
              <w:left w:val="nil"/>
              <w:bottom w:val="single" w:sz="4" w:space="0" w:color="auto"/>
              <w:right w:val="single" w:sz="4" w:space="0" w:color="auto"/>
            </w:tcBorders>
            <w:shd w:val="clear" w:color="auto" w:fill="auto"/>
            <w:noWrap/>
            <w:vAlign w:val="bottom"/>
            <w:hideMark/>
          </w:tcPr>
          <w:p w14:paraId="42DA0AFD"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88.6</w:t>
            </w:r>
          </w:p>
        </w:tc>
      </w:tr>
      <w:tr w:rsidR="00D9657A" w:rsidRPr="00D9657A" w14:paraId="5895CD83"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3035E34"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Gap --&gt; Vare --&gt; Gap --&gt; Vare</w:t>
            </w:r>
          </w:p>
        </w:tc>
        <w:tc>
          <w:tcPr>
            <w:tcW w:w="1134" w:type="dxa"/>
            <w:tcBorders>
              <w:top w:val="nil"/>
              <w:left w:val="nil"/>
              <w:bottom w:val="single" w:sz="4" w:space="0" w:color="auto"/>
              <w:right w:val="single" w:sz="4" w:space="0" w:color="auto"/>
            </w:tcBorders>
            <w:shd w:val="clear" w:color="auto" w:fill="auto"/>
            <w:noWrap/>
            <w:vAlign w:val="bottom"/>
            <w:hideMark/>
          </w:tcPr>
          <w:p w14:paraId="6341DDFC"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5436</w:t>
            </w:r>
          </w:p>
        </w:tc>
        <w:tc>
          <w:tcPr>
            <w:tcW w:w="992" w:type="dxa"/>
            <w:tcBorders>
              <w:top w:val="nil"/>
              <w:left w:val="nil"/>
              <w:bottom w:val="single" w:sz="4" w:space="0" w:color="auto"/>
              <w:right w:val="single" w:sz="4" w:space="0" w:color="auto"/>
            </w:tcBorders>
            <w:shd w:val="clear" w:color="auto" w:fill="auto"/>
            <w:noWrap/>
            <w:vAlign w:val="bottom"/>
            <w:hideMark/>
          </w:tcPr>
          <w:p w14:paraId="70EDF85E"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2.9</w:t>
            </w:r>
          </w:p>
        </w:tc>
        <w:tc>
          <w:tcPr>
            <w:tcW w:w="1439" w:type="dxa"/>
            <w:tcBorders>
              <w:top w:val="nil"/>
              <w:left w:val="nil"/>
              <w:bottom w:val="single" w:sz="4" w:space="0" w:color="auto"/>
              <w:right w:val="single" w:sz="4" w:space="0" w:color="auto"/>
            </w:tcBorders>
            <w:shd w:val="clear" w:color="auto" w:fill="auto"/>
            <w:noWrap/>
            <w:vAlign w:val="bottom"/>
            <w:hideMark/>
          </w:tcPr>
          <w:p w14:paraId="745E1698"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91.5</w:t>
            </w:r>
          </w:p>
        </w:tc>
      </w:tr>
      <w:tr w:rsidR="00D9657A" w:rsidRPr="00D9657A" w14:paraId="0A2C1B42"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5FA0405"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Gap --&gt; Nico --&gt; Gap --&gt; Vare</w:t>
            </w:r>
          </w:p>
        </w:tc>
        <w:tc>
          <w:tcPr>
            <w:tcW w:w="1134" w:type="dxa"/>
            <w:tcBorders>
              <w:top w:val="nil"/>
              <w:left w:val="nil"/>
              <w:bottom w:val="single" w:sz="4" w:space="0" w:color="auto"/>
              <w:right w:val="single" w:sz="4" w:space="0" w:color="auto"/>
            </w:tcBorders>
            <w:shd w:val="clear" w:color="auto" w:fill="auto"/>
            <w:noWrap/>
            <w:vAlign w:val="bottom"/>
            <w:hideMark/>
          </w:tcPr>
          <w:p w14:paraId="6378D6BB"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4442</w:t>
            </w:r>
          </w:p>
        </w:tc>
        <w:tc>
          <w:tcPr>
            <w:tcW w:w="992" w:type="dxa"/>
            <w:tcBorders>
              <w:top w:val="nil"/>
              <w:left w:val="nil"/>
              <w:bottom w:val="single" w:sz="4" w:space="0" w:color="auto"/>
              <w:right w:val="single" w:sz="4" w:space="0" w:color="auto"/>
            </w:tcBorders>
            <w:shd w:val="clear" w:color="auto" w:fill="auto"/>
            <w:noWrap/>
            <w:vAlign w:val="bottom"/>
            <w:hideMark/>
          </w:tcPr>
          <w:p w14:paraId="2DD2B680"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2.4</w:t>
            </w:r>
          </w:p>
        </w:tc>
        <w:tc>
          <w:tcPr>
            <w:tcW w:w="1439" w:type="dxa"/>
            <w:tcBorders>
              <w:top w:val="nil"/>
              <w:left w:val="nil"/>
              <w:bottom w:val="single" w:sz="4" w:space="0" w:color="auto"/>
              <w:right w:val="single" w:sz="4" w:space="0" w:color="auto"/>
            </w:tcBorders>
            <w:shd w:val="clear" w:color="auto" w:fill="auto"/>
            <w:noWrap/>
            <w:vAlign w:val="bottom"/>
            <w:hideMark/>
          </w:tcPr>
          <w:p w14:paraId="07B01BEE"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93.9</w:t>
            </w:r>
          </w:p>
        </w:tc>
      </w:tr>
      <w:tr w:rsidR="00D9657A" w:rsidRPr="00D9657A" w14:paraId="761C2145"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91E6361"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Gap --&gt; Vare --&gt; Gap --&gt; Nico</w:t>
            </w:r>
          </w:p>
        </w:tc>
        <w:tc>
          <w:tcPr>
            <w:tcW w:w="1134" w:type="dxa"/>
            <w:tcBorders>
              <w:top w:val="nil"/>
              <w:left w:val="nil"/>
              <w:bottom w:val="single" w:sz="4" w:space="0" w:color="auto"/>
              <w:right w:val="single" w:sz="4" w:space="0" w:color="auto"/>
            </w:tcBorders>
            <w:shd w:val="clear" w:color="auto" w:fill="auto"/>
            <w:noWrap/>
            <w:vAlign w:val="bottom"/>
            <w:hideMark/>
          </w:tcPr>
          <w:p w14:paraId="7DD7671D"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3233</w:t>
            </w:r>
          </w:p>
        </w:tc>
        <w:tc>
          <w:tcPr>
            <w:tcW w:w="992" w:type="dxa"/>
            <w:tcBorders>
              <w:top w:val="nil"/>
              <w:left w:val="nil"/>
              <w:bottom w:val="single" w:sz="4" w:space="0" w:color="auto"/>
              <w:right w:val="single" w:sz="4" w:space="0" w:color="auto"/>
            </w:tcBorders>
            <w:shd w:val="clear" w:color="auto" w:fill="auto"/>
            <w:noWrap/>
            <w:vAlign w:val="bottom"/>
            <w:hideMark/>
          </w:tcPr>
          <w:p w14:paraId="4B9BAC6F"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1.8</w:t>
            </w:r>
          </w:p>
        </w:tc>
        <w:tc>
          <w:tcPr>
            <w:tcW w:w="1439" w:type="dxa"/>
            <w:tcBorders>
              <w:top w:val="nil"/>
              <w:left w:val="nil"/>
              <w:bottom w:val="single" w:sz="4" w:space="0" w:color="auto"/>
              <w:right w:val="single" w:sz="4" w:space="0" w:color="auto"/>
            </w:tcBorders>
            <w:shd w:val="clear" w:color="auto" w:fill="auto"/>
            <w:noWrap/>
            <w:vAlign w:val="bottom"/>
            <w:hideMark/>
          </w:tcPr>
          <w:p w14:paraId="2E33038E"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95.7</w:t>
            </w:r>
          </w:p>
        </w:tc>
      </w:tr>
      <w:tr w:rsidR="00D9657A" w:rsidRPr="00D9657A" w14:paraId="15DFCC08"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035473C"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Vare</w:t>
            </w:r>
          </w:p>
        </w:tc>
        <w:tc>
          <w:tcPr>
            <w:tcW w:w="1134" w:type="dxa"/>
            <w:tcBorders>
              <w:top w:val="nil"/>
              <w:left w:val="nil"/>
              <w:bottom w:val="single" w:sz="4" w:space="0" w:color="auto"/>
              <w:right w:val="single" w:sz="4" w:space="0" w:color="auto"/>
            </w:tcBorders>
            <w:shd w:val="clear" w:color="auto" w:fill="auto"/>
            <w:noWrap/>
            <w:vAlign w:val="bottom"/>
            <w:hideMark/>
          </w:tcPr>
          <w:p w14:paraId="06FA8352"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729</w:t>
            </w:r>
          </w:p>
        </w:tc>
        <w:tc>
          <w:tcPr>
            <w:tcW w:w="992" w:type="dxa"/>
            <w:tcBorders>
              <w:top w:val="nil"/>
              <w:left w:val="nil"/>
              <w:bottom w:val="single" w:sz="4" w:space="0" w:color="auto"/>
              <w:right w:val="single" w:sz="4" w:space="0" w:color="auto"/>
            </w:tcBorders>
            <w:shd w:val="clear" w:color="auto" w:fill="auto"/>
            <w:noWrap/>
            <w:vAlign w:val="bottom"/>
            <w:hideMark/>
          </w:tcPr>
          <w:p w14:paraId="538C8EF2"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0.4</w:t>
            </w:r>
          </w:p>
        </w:tc>
        <w:tc>
          <w:tcPr>
            <w:tcW w:w="1439" w:type="dxa"/>
            <w:tcBorders>
              <w:top w:val="nil"/>
              <w:left w:val="nil"/>
              <w:bottom w:val="single" w:sz="4" w:space="0" w:color="auto"/>
              <w:right w:val="single" w:sz="4" w:space="0" w:color="auto"/>
            </w:tcBorders>
            <w:shd w:val="clear" w:color="auto" w:fill="auto"/>
            <w:noWrap/>
            <w:vAlign w:val="bottom"/>
            <w:hideMark/>
          </w:tcPr>
          <w:p w14:paraId="5254AF8E"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96.1</w:t>
            </w:r>
          </w:p>
        </w:tc>
      </w:tr>
      <w:tr w:rsidR="00D9657A" w:rsidRPr="00D9657A" w14:paraId="4AE05D71"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5A30288"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Nico+Vare --&gt; Vare</w:t>
            </w:r>
          </w:p>
        </w:tc>
        <w:tc>
          <w:tcPr>
            <w:tcW w:w="1134" w:type="dxa"/>
            <w:tcBorders>
              <w:top w:val="nil"/>
              <w:left w:val="nil"/>
              <w:bottom w:val="single" w:sz="4" w:space="0" w:color="auto"/>
              <w:right w:val="single" w:sz="4" w:space="0" w:color="auto"/>
            </w:tcBorders>
            <w:shd w:val="clear" w:color="auto" w:fill="auto"/>
            <w:noWrap/>
            <w:vAlign w:val="bottom"/>
            <w:hideMark/>
          </w:tcPr>
          <w:p w14:paraId="19A4FB04"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549</w:t>
            </w:r>
          </w:p>
        </w:tc>
        <w:tc>
          <w:tcPr>
            <w:tcW w:w="992" w:type="dxa"/>
            <w:tcBorders>
              <w:top w:val="nil"/>
              <w:left w:val="nil"/>
              <w:bottom w:val="single" w:sz="4" w:space="0" w:color="auto"/>
              <w:right w:val="single" w:sz="4" w:space="0" w:color="auto"/>
            </w:tcBorders>
            <w:shd w:val="clear" w:color="auto" w:fill="auto"/>
            <w:noWrap/>
            <w:vAlign w:val="bottom"/>
            <w:hideMark/>
          </w:tcPr>
          <w:p w14:paraId="693E9999"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0.3</w:t>
            </w:r>
          </w:p>
        </w:tc>
        <w:tc>
          <w:tcPr>
            <w:tcW w:w="1439" w:type="dxa"/>
            <w:tcBorders>
              <w:top w:val="nil"/>
              <w:left w:val="nil"/>
              <w:bottom w:val="single" w:sz="4" w:space="0" w:color="auto"/>
              <w:right w:val="single" w:sz="4" w:space="0" w:color="auto"/>
            </w:tcBorders>
            <w:shd w:val="clear" w:color="auto" w:fill="auto"/>
            <w:noWrap/>
            <w:vAlign w:val="bottom"/>
            <w:hideMark/>
          </w:tcPr>
          <w:p w14:paraId="219777EC"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96.4</w:t>
            </w:r>
          </w:p>
        </w:tc>
      </w:tr>
      <w:tr w:rsidR="00D9657A" w:rsidRPr="00D9657A" w14:paraId="758E477A"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C6DA78C"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Gap --&gt; Bupr</w:t>
            </w:r>
          </w:p>
        </w:tc>
        <w:tc>
          <w:tcPr>
            <w:tcW w:w="1134" w:type="dxa"/>
            <w:tcBorders>
              <w:top w:val="nil"/>
              <w:left w:val="nil"/>
              <w:bottom w:val="single" w:sz="4" w:space="0" w:color="auto"/>
              <w:right w:val="single" w:sz="4" w:space="0" w:color="auto"/>
            </w:tcBorders>
            <w:shd w:val="clear" w:color="auto" w:fill="auto"/>
            <w:noWrap/>
            <w:vAlign w:val="bottom"/>
            <w:hideMark/>
          </w:tcPr>
          <w:p w14:paraId="35C16420"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465</w:t>
            </w:r>
          </w:p>
        </w:tc>
        <w:tc>
          <w:tcPr>
            <w:tcW w:w="992" w:type="dxa"/>
            <w:tcBorders>
              <w:top w:val="nil"/>
              <w:left w:val="nil"/>
              <w:bottom w:val="single" w:sz="4" w:space="0" w:color="auto"/>
              <w:right w:val="single" w:sz="4" w:space="0" w:color="auto"/>
            </w:tcBorders>
            <w:shd w:val="clear" w:color="auto" w:fill="auto"/>
            <w:noWrap/>
            <w:vAlign w:val="bottom"/>
            <w:hideMark/>
          </w:tcPr>
          <w:p w14:paraId="572AF74A"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0.3</w:t>
            </w:r>
          </w:p>
        </w:tc>
        <w:tc>
          <w:tcPr>
            <w:tcW w:w="1439" w:type="dxa"/>
            <w:tcBorders>
              <w:top w:val="nil"/>
              <w:left w:val="nil"/>
              <w:bottom w:val="single" w:sz="4" w:space="0" w:color="auto"/>
              <w:right w:val="single" w:sz="4" w:space="0" w:color="auto"/>
            </w:tcBorders>
            <w:shd w:val="clear" w:color="auto" w:fill="auto"/>
            <w:noWrap/>
            <w:vAlign w:val="bottom"/>
            <w:hideMark/>
          </w:tcPr>
          <w:p w14:paraId="265DBFA8"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96.7</w:t>
            </w:r>
          </w:p>
        </w:tc>
      </w:tr>
      <w:tr w:rsidR="00D9657A" w:rsidRPr="00D9657A" w14:paraId="7EBE807D"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E58FD0B"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 xml:space="preserve">Nico --&gt; Nico+Vare --&gt; Vare --&gt; Gap --&gt; Vare </w:t>
            </w:r>
          </w:p>
        </w:tc>
        <w:tc>
          <w:tcPr>
            <w:tcW w:w="1134" w:type="dxa"/>
            <w:tcBorders>
              <w:top w:val="nil"/>
              <w:left w:val="nil"/>
              <w:bottom w:val="single" w:sz="4" w:space="0" w:color="auto"/>
              <w:right w:val="single" w:sz="4" w:space="0" w:color="auto"/>
            </w:tcBorders>
            <w:shd w:val="clear" w:color="auto" w:fill="auto"/>
            <w:noWrap/>
            <w:vAlign w:val="bottom"/>
            <w:hideMark/>
          </w:tcPr>
          <w:p w14:paraId="66F07439"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224</w:t>
            </w:r>
          </w:p>
        </w:tc>
        <w:tc>
          <w:tcPr>
            <w:tcW w:w="992" w:type="dxa"/>
            <w:tcBorders>
              <w:top w:val="nil"/>
              <w:left w:val="nil"/>
              <w:bottom w:val="single" w:sz="4" w:space="0" w:color="auto"/>
              <w:right w:val="single" w:sz="4" w:space="0" w:color="auto"/>
            </w:tcBorders>
            <w:shd w:val="clear" w:color="auto" w:fill="auto"/>
            <w:noWrap/>
            <w:vAlign w:val="bottom"/>
            <w:hideMark/>
          </w:tcPr>
          <w:p w14:paraId="31A797D5"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0.1</w:t>
            </w:r>
          </w:p>
        </w:tc>
        <w:tc>
          <w:tcPr>
            <w:tcW w:w="1439" w:type="dxa"/>
            <w:tcBorders>
              <w:top w:val="nil"/>
              <w:left w:val="nil"/>
              <w:bottom w:val="single" w:sz="4" w:space="0" w:color="auto"/>
              <w:right w:val="single" w:sz="4" w:space="0" w:color="auto"/>
            </w:tcBorders>
            <w:shd w:val="clear" w:color="auto" w:fill="auto"/>
            <w:noWrap/>
            <w:vAlign w:val="bottom"/>
            <w:hideMark/>
          </w:tcPr>
          <w:p w14:paraId="05789A27"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96.8</w:t>
            </w:r>
          </w:p>
        </w:tc>
      </w:tr>
      <w:tr w:rsidR="00D9657A" w:rsidRPr="00D9657A" w14:paraId="1095CB19"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D542FB2"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Vare --&gt; Gap --&gt; Vare</w:t>
            </w:r>
          </w:p>
        </w:tc>
        <w:tc>
          <w:tcPr>
            <w:tcW w:w="1134" w:type="dxa"/>
            <w:tcBorders>
              <w:top w:val="nil"/>
              <w:left w:val="nil"/>
              <w:bottom w:val="single" w:sz="4" w:space="0" w:color="auto"/>
              <w:right w:val="single" w:sz="4" w:space="0" w:color="auto"/>
            </w:tcBorders>
            <w:shd w:val="clear" w:color="auto" w:fill="auto"/>
            <w:noWrap/>
            <w:vAlign w:val="bottom"/>
            <w:hideMark/>
          </w:tcPr>
          <w:p w14:paraId="51B6BC45"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213</w:t>
            </w:r>
          </w:p>
        </w:tc>
        <w:tc>
          <w:tcPr>
            <w:tcW w:w="992" w:type="dxa"/>
            <w:tcBorders>
              <w:top w:val="nil"/>
              <w:left w:val="nil"/>
              <w:bottom w:val="single" w:sz="4" w:space="0" w:color="auto"/>
              <w:right w:val="single" w:sz="4" w:space="0" w:color="auto"/>
            </w:tcBorders>
            <w:shd w:val="clear" w:color="auto" w:fill="auto"/>
            <w:noWrap/>
            <w:vAlign w:val="bottom"/>
            <w:hideMark/>
          </w:tcPr>
          <w:p w14:paraId="6A617F9A"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0.1</w:t>
            </w:r>
          </w:p>
        </w:tc>
        <w:tc>
          <w:tcPr>
            <w:tcW w:w="1439" w:type="dxa"/>
            <w:tcBorders>
              <w:top w:val="nil"/>
              <w:left w:val="nil"/>
              <w:bottom w:val="single" w:sz="4" w:space="0" w:color="auto"/>
              <w:right w:val="single" w:sz="4" w:space="0" w:color="auto"/>
            </w:tcBorders>
            <w:shd w:val="clear" w:color="auto" w:fill="auto"/>
            <w:noWrap/>
            <w:vAlign w:val="bottom"/>
            <w:hideMark/>
          </w:tcPr>
          <w:p w14:paraId="39691D4C"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96.9</w:t>
            </w:r>
          </w:p>
        </w:tc>
      </w:tr>
      <w:tr w:rsidR="00D9657A" w:rsidRPr="00D9657A" w14:paraId="53B5157C"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D9D336E"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 xml:space="preserve">Nico --&gt; Gap --&gt; Nico --&gt; Nico+Vare --&gt; Vare </w:t>
            </w:r>
          </w:p>
        </w:tc>
        <w:tc>
          <w:tcPr>
            <w:tcW w:w="1134" w:type="dxa"/>
            <w:tcBorders>
              <w:top w:val="nil"/>
              <w:left w:val="nil"/>
              <w:bottom w:val="single" w:sz="4" w:space="0" w:color="auto"/>
              <w:right w:val="single" w:sz="4" w:space="0" w:color="auto"/>
            </w:tcBorders>
            <w:shd w:val="clear" w:color="auto" w:fill="auto"/>
            <w:noWrap/>
            <w:vAlign w:val="bottom"/>
            <w:hideMark/>
          </w:tcPr>
          <w:p w14:paraId="72CAE963"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183</w:t>
            </w:r>
          </w:p>
        </w:tc>
        <w:tc>
          <w:tcPr>
            <w:tcW w:w="992" w:type="dxa"/>
            <w:tcBorders>
              <w:top w:val="nil"/>
              <w:left w:val="nil"/>
              <w:bottom w:val="single" w:sz="4" w:space="0" w:color="auto"/>
              <w:right w:val="single" w:sz="4" w:space="0" w:color="auto"/>
            </w:tcBorders>
            <w:shd w:val="clear" w:color="auto" w:fill="auto"/>
            <w:noWrap/>
            <w:vAlign w:val="bottom"/>
            <w:hideMark/>
          </w:tcPr>
          <w:p w14:paraId="6D68606A"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0.1</w:t>
            </w:r>
          </w:p>
        </w:tc>
        <w:tc>
          <w:tcPr>
            <w:tcW w:w="1439" w:type="dxa"/>
            <w:tcBorders>
              <w:top w:val="nil"/>
              <w:left w:val="nil"/>
              <w:bottom w:val="single" w:sz="4" w:space="0" w:color="auto"/>
              <w:right w:val="single" w:sz="4" w:space="0" w:color="auto"/>
            </w:tcBorders>
            <w:shd w:val="clear" w:color="auto" w:fill="auto"/>
            <w:noWrap/>
            <w:vAlign w:val="bottom"/>
            <w:hideMark/>
          </w:tcPr>
          <w:p w14:paraId="5847C09C"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97</w:t>
            </w:r>
          </w:p>
        </w:tc>
      </w:tr>
      <w:tr w:rsidR="00D9657A" w:rsidRPr="00D9657A" w14:paraId="1BB82A9A"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50616B4"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Vare --&gt; Gap --&gt; Vare --&gt; Gap --&gt; Vare</w:t>
            </w:r>
          </w:p>
        </w:tc>
        <w:tc>
          <w:tcPr>
            <w:tcW w:w="1134" w:type="dxa"/>
            <w:tcBorders>
              <w:top w:val="nil"/>
              <w:left w:val="nil"/>
              <w:bottom w:val="single" w:sz="4" w:space="0" w:color="auto"/>
              <w:right w:val="single" w:sz="4" w:space="0" w:color="auto"/>
            </w:tcBorders>
            <w:shd w:val="clear" w:color="auto" w:fill="auto"/>
            <w:noWrap/>
            <w:vAlign w:val="bottom"/>
            <w:hideMark/>
          </w:tcPr>
          <w:p w14:paraId="35A1DD5E"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180</w:t>
            </w:r>
          </w:p>
        </w:tc>
        <w:tc>
          <w:tcPr>
            <w:tcW w:w="992" w:type="dxa"/>
            <w:tcBorders>
              <w:top w:val="nil"/>
              <w:left w:val="nil"/>
              <w:bottom w:val="single" w:sz="4" w:space="0" w:color="auto"/>
              <w:right w:val="single" w:sz="4" w:space="0" w:color="auto"/>
            </w:tcBorders>
            <w:shd w:val="clear" w:color="auto" w:fill="auto"/>
            <w:noWrap/>
            <w:vAlign w:val="bottom"/>
            <w:hideMark/>
          </w:tcPr>
          <w:p w14:paraId="1DB64128"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0.1</w:t>
            </w:r>
          </w:p>
        </w:tc>
        <w:tc>
          <w:tcPr>
            <w:tcW w:w="1439" w:type="dxa"/>
            <w:tcBorders>
              <w:top w:val="nil"/>
              <w:left w:val="nil"/>
              <w:bottom w:val="single" w:sz="4" w:space="0" w:color="auto"/>
              <w:right w:val="single" w:sz="4" w:space="0" w:color="auto"/>
            </w:tcBorders>
            <w:shd w:val="clear" w:color="auto" w:fill="auto"/>
            <w:noWrap/>
            <w:vAlign w:val="bottom"/>
            <w:hideMark/>
          </w:tcPr>
          <w:p w14:paraId="73EE657C"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97.1</w:t>
            </w:r>
          </w:p>
        </w:tc>
      </w:tr>
      <w:tr w:rsidR="00D9657A" w:rsidRPr="00D9657A" w14:paraId="0F59B4D1" w14:textId="77777777" w:rsidTr="00D9657A">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34726CC" w14:textId="77777777" w:rsidR="00D9657A" w:rsidRPr="00D9657A" w:rsidRDefault="00D9657A" w:rsidP="00D9657A">
            <w:pPr>
              <w:spacing w:after="0"/>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Nico --&gt; Gap --&gt; Nico --&gt; Gap --&gt; Nico --&gt; Vare</w:t>
            </w:r>
          </w:p>
        </w:tc>
        <w:tc>
          <w:tcPr>
            <w:tcW w:w="1134" w:type="dxa"/>
            <w:tcBorders>
              <w:top w:val="nil"/>
              <w:left w:val="nil"/>
              <w:bottom w:val="single" w:sz="4" w:space="0" w:color="auto"/>
              <w:right w:val="single" w:sz="4" w:space="0" w:color="auto"/>
            </w:tcBorders>
            <w:shd w:val="clear" w:color="auto" w:fill="auto"/>
            <w:noWrap/>
            <w:vAlign w:val="bottom"/>
            <w:hideMark/>
          </w:tcPr>
          <w:p w14:paraId="5BA81336"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178</w:t>
            </w:r>
          </w:p>
        </w:tc>
        <w:tc>
          <w:tcPr>
            <w:tcW w:w="992" w:type="dxa"/>
            <w:tcBorders>
              <w:top w:val="nil"/>
              <w:left w:val="nil"/>
              <w:bottom w:val="single" w:sz="4" w:space="0" w:color="auto"/>
              <w:right w:val="single" w:sz="4" w:space="0" w:color="auto"/>
            </w:tcBorders>
            <w:shd w:val="clear" w:color="auto" w:fill="auto"/>
            <w:noWrap/>
            <w:vAlign w:val="bottom"/>
            <w:hideMark/>
          </w:tcPr>
          <w:p w14:paraId="59F5D3D0"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0.1</w:t>
            </w:r>
          </w:p>
        </w:tc>
        <w:tc>
          <w:tcPr>
            <w:tcW w:w="1439" w:type="dxa"/>
            <w:tcBorders>
              <w:top w:val="nil"/>
              <w:left w:val="nil"/>
              <w:bottom w:val="single" w:sz="4" w:space="0" w:color="auto"/>
              <w:right w:val="single" w:sz="4" w:space="0" w:color="auto"/>
            </w:tcBorders>
            <w:shd w:val="clear" w:color="auto" w:fill="auto"/>
            <w:noWrap/>
            <w:vAlign w:val="bottom"/>
            <w:hideMark/>
          </w:tcPr>
          <w:p w14:paraId="46CBB132" w14:textId="77777777" w:rsidR="00D9657A" w:rsidRPr="00D9657A" w:rsidRDefault="00D9657A" w:rsidP="00D9657A">
            <w:pPr>
              <w:spacing w:after="0"/>
              <w:jc w:val="right"/>
              <w:rPr>
                <w:rFonts w:ascii="Calibri" w:eastAsia="Times New Roman" w:hAnsi="Calibri" w:cs="Times New Roman"/>
                <w:color w:val="000000"/>
                <w:sz w:val="22"/>
                <w:szCs w:val="22"/>
              </w:rPr>
            </w:pPr>
            <w:r w:rsidRPr="00D9657A">
              <w:rPr>
                <w:rFonts w:ascii="Calibri" w:eastAsia="Times New Roman" w:hAnsi="Calibri" w:cs="Times New Roman"/>
                <w:color w:val="000000"/>
                <w:sz w:val="22"/>
                <w:szCs w:val="22"/>
              </w:rPr>
              <w:t>97.2</w:t>
            </w:r>
          </w:p>
        </w:tc>
      </w:tr>
    </w:tbl>
    <w:p w14:paraId="7F7A6DBE" w14:textId="77777777" w:rsidR="00DB6BD3" w:rsidRPr="00A963C0" w:rsidRDefault="00DB6BD3" w:rsidP="00DB6BD3">
      <w:pPr>
        <w:spacing w:after="0"/>
        <w:rPr>
          <w:rFonts w:cstheme="minorHAnsi"/>
          <w:i/>
          <w:sz w:val="20"/>
          <w:szCs w:val="20"/>
          <w:lang w:val="en-US"/>
        </w:rPr>
      </w:pPr>
      <w:r w:rsidRPr="00A963C0">
        <w:rPr>
          <w:rFonts w:cstheme="minorHAnsi"/>
          <w:sz w:val="20"/>
          <w:szCs w:val="20"/>
          <w:lang w:val="en-US"/>
        </w:rPr>
        <w:t xml:space="preserve">Legend: </w:t>
      </w:r>
      <w:r w:rsidRPr="00A963C0">
        <w:rPr>
          <w:rFonts w:cstheme="minorHAnsi"/>
          <w:i/>
          <w:sz w:val="20"/>
          <w:szCs w:val="20"/>
          <w:lang w:val="en-US"/>
        </w:rPr>
        <w:t xml:space="preserve">“+” denotes concurrent use of medicines; </w:t>
      </w:r>
    </w:p>
    <w:p w14:paraId="16D11E97" w14:textId="77777777" w:rsidR="00DB6BD3" w:rsidRPr="00A963C0" w:rsidRDefault="00DB6BD3" w:rsidP="00DB6BD3">
      <w:pPr>
        <w:spacing w:after="0"/>
        <w:rPr>
          <w:rFonts w:cstheme="minorHAnsi"/>
          <w:i/>
          <w:sz w:val="20"/>
          <w:szCs w:val="20"/>
          <w:lang w:val="en-US"/>
        </w:rPr>
      </w:pPr>
      <w:r w:rsidRPr="00A963C0">
        <w:rPr>
          <w:rFonts w:cstheme="minorHAnsi"/>
          <w:i/>
          <w:sz w:val="20"/>
          <w:szCs w:val="20"/>
          <w:lang w:val="en-US"/>
        </w:rPr>
        <w:t xml:space="preserve">              “--&gt;” denotes transition from one therapy to another</w:t>
      </w:r>
    </w:p>
    <w:p w14:paraId="6F8F5767" w14:textId="7D74124E" w:rsidR="00DB6BD3" w:rsidRDefault="00DB6BD3" w:rsidP="00DB6BD3">
      <w:pPr>
        <w:rPr>
          <w:rFonts w:cstheme="minorHAnsi"/>
          <w:sz w:val="20"/>
          <w:szCs w:val="20"/>
          <w:lang w:val="en-US"/>
        </w:rPr>
      </w:pPr>
      <w:r>
        <w:rPr>
          <w:rFonts w:cstheme="minorHAnsi"/>
          <w:sz w:val="20"/>
          <w:szCs w:val="20"/>
          <w:lang w:val="en-US"/>
        </w:rPr>
        <w:t>Vare</w:t>
      </w:r>
      <w:r w:rsidRPr="00A963C0">
        <w:rPr>
          <w:rFonts w:cstheme="minorHAnsi"/>
          <w:sz w:val="20"/>
          <w:szCs w:val="20"/>
          <w:lang w:val="en-US"/>
        </w:rPr>
        <w:t xml:space="preserve"> = </w:t>
      </w:r>
      <w:r w:rsidR="006B454E">
        <w:rPr>
          <w:rFonts w:cstheme="minorHAnsi"/>
          <w:sz w:val="20"/>
          <w:szCs w:val="20"/>
          <w:lang w:val="en-US"/>
        </w:rPr>
        <w:t>Varenicline</w:t>
      </w:r>
      <w:r w:rsidRPr="00A963C0">
        <w:rPr>
          <w:rFonts w:cstheme="minorHAnsi"/>
          <w:sz w:val="20"/>
          <w:szCs w:val="20"/>
          <w:lang w:val="en-US"/>
        </w:rPr>
        <w:t xml:space="preserve">; </w:t>
      </w:r>
      <w:r>
        <w:rPr>
          <w:rFonts w:cstheme="minorHAnsi"/>
          <w:sz w:val="20"/>
          <w:szCs w:val="20"/>
          <w:lang w:val="en-US"/>
        </w:rPr>
        <w:t>NRT</w:t>
      </w:r>
      <w:r w:rsidRPr="00A963C0">
        <w:rPr>
          <w:rFonts w:cstheme="minorHAnsi"/>
          <w:sz w:val="20"/>
          <w:szCs w:val="20"/>
          <w:lang w:val="en-US"/>
        </w:rPr>
        <w:t xml:space="preserve"> = </w:t>
      </w:r>
      <w:r>
        <w:rPr>
          <w:rFonts w:cstheme="minorHAnsi"/>
          <w:sz w:val="20"/>
          <w:szCs w:val="20"/>
          <w:lang w:val="en-US"/>
        </w:rPr>
        <w:t>Nicotine Replacement Therapy; Bupr = Bupropion; Gap – gap in therapy</w:t>
      </w:r>
    </w:p>
    <w:p w14:paraId="6918EE5F" w14:textId="77777777" w:rsidR="000B6A5D" w:rsidRDefault="000B6A5D">
      <w:pPr>
        <w:spacing w:after="0"/>
        <w:rPr>
          <w:rFonts w:cstheme="minorHAnsi"/>
          <w:lang w:val="en-US"/>
        </w:rPr>
      </w:pPr>
      <w:r>
        <w:rPr>
          <w:rFonts w:cstheme="minorHAnsi"/>
          <w:lang w:val="en-US"/>
        </w:rPr>
        <w:br w:type="page"/>
      </w:r>
    </w:p>
    <w:p w14:paraId="7C7D9856" w14:textId="77777777" w:rsidR="00D64CBA" w:rsidRDefault="00D64CBA" w:rsidP="00D64CBA">
      <w:pPr>
        <w:rPr>
          <w:rFonts w:cstheme="minorHAnsi"/>
          <w:lang w:val="en-US"/>
        </w:rPr>
      </w:pPr>
      <w:r>
        <w:rPr>
          <w:rFonts w:cstheme="minorHAnsi"/>
          <w:lang w:val="en-US"/>
        </w:rPr>
        <w:t>Table 7 presents the top 15 sequences after bupropion initiation which account for 96.6% of all trajectories. 58% of people attempted to quit with bupropion only once over 5 years.</w:t>
      </w:r>
    </w:p>
    <w:p w14:paraId="794A15AC" w14:textId="77777777" w:rsidR="000803DB" w:rsidRDefault="000803DB" w:rsidP="000803DB">
      <w:pPr>
        <w:rPr>
          <w:rFonts w:cstheme="minorHAnsi"/>
          <w:lang w:val="en-US"/>
        </w:rPr>
      </w:pPr>
      <w:r w:rsidRPr="00243654">
        <w:rPr>
          <w:rFonts w:cstheme="minorHAnsi"/>
          <w:b/>
          <w:lang w:val="en-US"/>
        </w:rPr>
        <w:t xml:space="preserve">Table </w:t>
      </w:r>
      <w:r>
        <w:rPr>
          <w:rFonts w:cstheme="minorHAnsi"/>
          <w:b/>
          <w:lang w:val="en-US"/>
        </w:rPr>
        <w:t>7</w:t>
      </w:r>
      <w:r w:rsidRPr="00243654">
        <w:rPr>
          <w:rFonts w:cstheme="minorHAnsi"/>
          <w:b/>
          <w:lang w:val="en-US"/>
        </w:rPr>
        <w:t>.</w:t>
      </w:r>
      <w:r>
        <w:rPr>
          <w:rFonts w:cstheme="minorHAnsi"/>
          <w:lang w:val="en-US"/>
        </w:rPr>
        <w:t xml:space="preserve"> Top </w:t>
      </w:r>
      <w:r w:rsidR="003F2B4F">
        <w:rPr>
          <w:rFonts w:cstheme="minorHAnsi"/>
          <w:lang w:val="en-US"/>
        </w:rPr>
        <w:t>15</w:t>
      </w:r>
      <w:r>
        <w:rPr>
          <w:rFonts w:cstheme="minorHAnsi"/>
          <w:lang w:val="en-US"/>
        </w:rPr>
        <w:t xml:space="preserve"> sequences after initiation of bupropion (N=14,468)</w:t>
      </w:r>
    </w:p>
    <w:tbl>
      <w:tblPr>
        <w:tblW w:w="8359" w:type="dxa"/>
        <w:tblLook w:val="04A0" w:firstRow="1" w:lastRow="0" w:firstColumn="1" w:lastColumn="0" w:noHBand="0" w:noVBand="1"/>
      </w:tblPr>
      <w:tblGrid>
        <w:gridCol w:w="4815"/>
        <w:gridCol w:w="1134"/>
        <w:gridCol w:w="992"/>
        <w:gridCol w:w="1418"/>
      </w:tblGrid>
      <w:tr w:rsidR="000803DB" w:rsidRPr="000803DB" w14:paraId="7666F4C3" w14:textId="77777777" w:rsidTr="00ED45E5">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E6032" w14:textId="77777777" w:rsidR="000803DB" w:rsidRPr="000803DB" w:rsidRDefault="000803DB" w:rsidP="000803DB">
            <w:pPr>
              <w:spacing w:after="0"/>
              <w:rPr>
                <w:rFonts w:ascii="Calibri" w:eastAsia="Times New Roman" w:hAnsi="Calibri" w:cs="Times New Roman"/>
                <w:color w:val="000000"/>
                <w:sz w:val="22"/>
                <w:szCs w:val="22"/>
              </w:rPr>
            </w:pPr>
            <w:r>
              <w:rPr>
                <w:rFonts w:ascii="Calibri" w:eastAsia="Times New Roman" w:hAnsi="Calibri" w:cs="Times New Roman"/>
                <w:color w:val="000000"/>
              </w:rPr>
              <w:t xml:space="preserve">Top </w:t>
            </w:r>
            <w:r w:rsidR="003F2B4F">
              <w:rPr>
                <w:rFonts w:ascii="Calibri" w:eastAsia="Times New Roman" w:hAnsi="Calibri" w:cs="Times New Roman"/>
                <w:color w:val="000000"/>
              </w:rPr>
              <w:t>15</w:t>
            </w:r>
            <w:r>
              <w:rPr>
                <w:rFonts w:ascii="Calibri" w:eastAsia="Times New Roman" w:hAnsi="Calibri" w:cs="Times New Roman"/>
                <w:color w:val="000000"/>
              </w:rPr>
              <w:t xml:space="preserve"> sequences after bupropion initiation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02D299E" w14:textId="77777777" w:rsidR="000803DB" w:rsidRPr="000803DB" w:rsidRDefault="000803DB" w:rsidP="000803DB">
            <w:pPr>
              <w:spacing w:after="0"/>
              <w:rPr>
                <w:rFonts w:ascii="Calibri" w:eastAsia="Times New Roman" w:hAnsi="Calibri" w:cs="Times New Roman"/>
                <w:color w:val="000000"/>
                <w:sz w:val="22"/>
                <w:szCs w:val="22"/>
              </w:rPr>
            </w:pPr>
            <w:r>
              <w:rPr>
                <w:rFonts w:ascii="Calibri" w:eastAsia="Times New Roman" w:hAnsi="Calibri" w:cs="Times New Roman"/>
                <w:color w:val="000000"/>
                <w:sz w:val="22"/>
                <w:szCs w:val="22"/>
              </w:rPr>
              <w:t>Number of people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A268DD" w14:textId="77777777" w:rsidR="000803DB" w:rsidRPr="000803DB" w:rsidRDefault="000803DB" w:rsidP="000803DB">
            <w:pPr>
              <w:spacing w:after="0"/>
              <w:rPr>
                <w:rFonts w:ascii="Calibri" w:eastAsia="Times New Roman" w:hAnsi="Calibri" w:cs="Times New Roman"/>
                <w:color w:val="000000"/>
                <w:sz w:val="22"/>
                <w:szCs w:val="22"/>
              </w:rPr>
            </w:pPr>
            <w:r>
              <w:rPr>
                <w:rFonts w:ascii="Calibri" w:eastAsia="Times New Roman" w:hAnsi="Calibri" w:cs="Times New Roman"/>
                <w:color w:val="000000"/>
                <w:sz w:val="22"/>
                <w:szCs w:val="22"/>
              </w:rPr>
              <w:t>P</w:t>
            </w:r>
            <w:r w:rsidRPr="000803DB">
              <w:rPr>
                <w:rFonts w:ascii="Calibri" w:eastAsia="Times New Roman" w:hAnsi="Calibri" w:cs="Times New Roman"/>
                <w:color w:val="000000"/>
                <w:sz w:val="22"/>
                <w:szCs w:val="22"/>
              </w:rPr>
              <w:t>ercent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49DD7A7" w14:textId="77777777" w:rsidR="000803DB" w:rsidRPr="000803DB" w:rsidRDefault="000803DB" w:rsidP="000803DB">
            <w:pPr>
              <w:spacing w:after="0"/>
              <w:rPr>
                <w:rFonts w:ascii="Calibri" w:eastAsia="Times New Roman" w:hAnsi="Calibri" w:cs="Times New Roman"/>
                <w:color w:val="000000"/>
                <w:sz w:val="22"/>
                <w:szCs w:val="22"/>
              </w:rPr>
            </w:pPr>
            <w:r>
              <w:rPr>
                <w:rFonts w:ascii="Calibri" w:eastAsia="Times New Roman" w:hAnsi="Calibri" w:cs="Times New Roman"/>
                <w:color w:val="000000"/>
                <w:sz w:val="22"/>
                <w:szCs w:val="22"/>
              </w:rPr>
              <w:t>Cumulative percent</w:t>
            </w:r>
          </w:p>
        </w:tc>
      </w:tr>
      <w:tr w:rsidR="00ED45E5" w:rsidRPr="00ED45E5" w14:paraId="1BCEBEC7" w14:textId="77777777" w:rsidTr="00ED45E5">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8C789"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Bupr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F9BC5C9"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8383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FF82E4"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58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64D3A9F"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58</w:t>
            </w:r>
          </w:p>
        </w:tc>
      </w:tr>
      <w:tr w:rsidR="00ED45E5" w:rsidRPr="00ED45E5" w14:paraId="28BF8E9B"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579AA0A"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Bupr --&gt; Gap --&gt; Vare</w:t>
            </w:r>
          </w:p>
        </w:tc>
        <w:tc>
          <w:tcPr>
            <w:tcW w:w="1134" w:type="dxa"/>
            <w:tcBorders>
              <w:top w:val="nil"/>
              <w:left w:val="nil"/>
              <w:bottom w:val="single" w:sz="4" w:space="0" w:color="auto"/>
              <w:right w:val="single" w:sz="4" w:space="0" w:color="auto"/>
            </w:tcBorders>
            <w:shd w:val="clear" w:color="auto" w:fill="auto"/>
            <w:noWrap/>
            <w:vAlign w:val="bottom"/>
            <w:hideMark/>
          </w:tcPr>
          <w:p w14:paraId="077D21FF"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1458</w:t>
            </w:r>
          </w:p>
        </w:tc>
        <w:tc>
          <w:tcPr>
            <w:tcW w:w="992" w:type="dxa"/>
            <w:tcBorders>
              <w:top w:val="nil"/>
              <w:left w:val="nil"/>
              <w:bottom w:val="single" w:sz="4" w:space="0" w:color="auto"/>
              <w:right w:val="single" w:sz="4" w:space="0" w:color="auto"/>
            </w:tcBorders>
            <w:shd w:val="clear" w:color="auto" w:fill="auto"/>
            <w:noWrap/>
            <w:vAlign w:val="bottom"/>
            <w:hideMark/>
          </w:tcPr>
          <w:p w14:paraId="668DD760"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10.1</w:t>
            </w:r>
          </w:p>
        </w:tc>
        <w:tc>
          <w:tcPr>
            <w:tcW w:w="1418" w:type="dxa"/>
            <w:tcBorders>
              <w:top w:val="nil"/>
              <w:left w:val="nil"/>
              <w:bottom w:val="single" w:sz="4" w:space="0" w:color="auto"/>
              <w:right w:val="single" w:sz="4" w:space="0" w:color="auto"/>
            </w:tcBorders>
            <w:shd w:val="clear" w:color="auto" w:fill="auto"/>
            <w:noWrap/>
            <w:vAlign w:val="bottom"/>
            <w:hideMark/>
          </w:tcPr>
          <w:p w14:paraId="6A8C705D"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68.1</w:t>
            </w:r>
          </w:p>
        </w:tc>
      </w:tr>
      <w:tr w:rsidR="00ED45E5" w:rsidRPr="00ED45E5" w14:paraId="2E8A3BEF"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7CE9C96"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Bupr --&gt; Gap --&gt; Bupr</w:t>
            </w:r>
          </w:p>
        </w:tc>
        <w:tc>
          <w:tcPr>
            <w:tcW w:w="1134" w:type="dxa"/>
            <w:tcBorders>
              <w:top w:val="nil"/>
              <w:left w:val="nil"/>
              <w:bottom w:val="single" w:sz="4" w:space="0" w:color="auto"/>
              <w:right w:val="single" w:sz="4" w:space="0" w:color="auto"/>
            </w:tcBorders>
            <w:shd w:val="clear" w:color="auto" w:fill="auto"/>
            <w:noWrap/>
            <w:vAlign w:val="bottom"/>
            <w:hideMark/>
          </w:tcPr>
          <w:p w14:paraId="2C59FCE3"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1252</w:t>
            </w:r>
          </w:p>
        </w:tc>
        <w:tc>
          <w:tcPr>
            <w:tcW w:w="992" w:type="dxa"/>
            <w:tcBorders>
              <w:top w:val="nil"/>
              <w:left w:val="nil"/>
              <w:bottom w:val="single" w:sz="4" w:space="0" w:color="auto"/>
              <w:right w:val="single" w:sz="4" w:space="0" w:color="auto"/>
            </w:tcBorders>
            <w:shd w:val="clear" w:color="auto" w:fill="auto"/>
            <w:noWrap/>
            <w:vAlign w:val="bottom"/>
            <w:hideMark/>
          </w:tcPr>
          <w:p w14:paraId="13475481"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8.7</w:t>
            </w:r>
          </w:p>
        </w:tc>
        <w:tc>
          <w:tcPr>
            <w:tcW w:w="1418" w:type="dxa"/>
            <w:tcBorders>
              <w:top w:val="nil"/>
              <w:left w:val="nil"/>
              <w:bottom w:val="single" w:sz="4" w:space="0" w:color="auto"/>
              <w:right w:val="single" w:sz="4" w:space="0" w:color="auto"/>
            </w:tcBorders>
            <w:shd w:val="clear" w:color="auto" w:fill="auto"/>
            <w:noWrap/>
            <w:vAlign w:val="bottom"/>
            <w:hideMark/>
          </w:tcPr>
          <w:p w14:paraId="328189A5"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76.8</w:t>
            </w:r>
          </w:p>
        </w:tc>
      </w:tr>
      <w:tr w:rsidR="00ED45E5" w:rsidRPr="00ED45E5" w14:paraId="4AC86755"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82A141F"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Bupr --&gt; Gap --&gt; Nico</w:t>
            </w:r>
          </w:p>
        </w:tc>
        <w:tc>
          <w:tcPr>
            <w:tcW w:w="1134" w:type="dxa"/>
            <w:tcBorders>
              <w:top w:val="nil"/>
              <w:left w:val="nil"/>
              <w:bottom w:val="single" w:sz="4" w:space="0" w:color="auto"/>
              <w:right w:val="single" w:sz="4" w:space="0" w:color="auto"/>
            </w:tcBorders>
            <w:shd w:val="clear" w:color="auto" w:fill="auto"/>
            <w:noWrap/>
            <w:vAlign w:val="bottom"/>
            <w:hideMark/>
          </w:tcPr>
          <w:p w14:paraId="5152AA00"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542</w:t>
            </w:r>
          </w:p>
        </w:tc>
        <w:tc>
          <w:tcPr>
            <w:tcW w:w="992" w:type="dxa"/>
            <w:tcBorders>
              <w:top w:val="nil"/>
              <w:left w:val="nil"/>
              <w:bottom w:val="single" w:sz="4" w:space="0" w:color="auto"/>
              <w:right w:val="single" w:sz="4" w:space="0" w:color="auto"/>
            </w:tcBorders>
            <w:shd w:val="clear" w:color="auto" w:fill="auto"/>
            <w:noWrap/>
            <w:vAlign w:val="bottom"/>
            <w:hideMark/>
          </w:tcPr>
          <w:p w14:paraId="6B509970"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3.7</w:t>
            </w:r>
          </w:p>
        </w:tc>
        <w:tc>
          <w:tcPr>
            <w:tcW w:w="1418" w:type="dxa"/>
            <w:tcBorders>
              <w:top w:val="nil"/>
              <w:left w:val="nil"/>
              <w:bottom w:val="single" w:sz="4" w:space="0" w:color="auto"/>
              <w:right w:val="single" w:sz="4" w:space="0" w:color="auto"/>
            </w:tcBorders>
            <w:shd w:val="clear" w:color="auto" w:fill="auto"/>
            <w:noWrap/>
            <w:vAlign w:val="bottom"/>
            <w:hideMark/>
          </w:tcPr>
          <w:p w14:paraId="0E1B5CEB"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80.5</w:t>
            </w:r>
          </w:p>
        </w:tc>
      </w:tr>
      <w:tr w:rsidR="00ED45E5" w:rsidRPr="00ED45E5" w14:paraId="10FB3752"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530F80E"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 xml:space="preserve">Bupr --&gt; Gap --&gt; Vare --&gt; Gap --&gt; Vare </w:t>
            </w:r>
          </w:p>
        </w:tc>
        <w:tc>
          <w:tcPr>
            <w:tcW w:w="1134" w:type="dxa"/>
            <w:tcBorders>
              <w:top w:val="nil"/>
              <w:left w:val="nil"/>
              <w:bottom w:val="single" w:sz="4" w:space="0" w:color="auto"/>
              <w:right w:val="single" w:sz="4" w:space="0" w:color="auto"/>
            </w:tcBorders>
            <w:shd w:val="clear" w:color="auto" w:fill="auto"/>
            <w:noWrap/>
            <w:vAlign w:val="bottom"/>
            <w:hideMark/>
          </w:tcPr>
          <w:p w14:paraId="42A8F233"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627</w:t>
            </w:r>
          </w:p>
        </w:tc>
        <w:tc>
          <w:tcPr>
            <w:tcW w:w="992" w:type="dxa"/>
            <w:tcBorders>
              <w:top w:val="nil"/>
              <w:left w:val="nil"/>
              <w:bottom w:val="single" w:sz="4" w:space="0" w:color="auto"/>
              <w:right w:val="single" w:sz="4" w:space="0" w:color="auto"/>
            </w:tcBorders>
            <w:shd w:val="clear" w:color="auto" w:fill="auto"/>
            <w:noWrap/>
            <w:vAlign w:val="bottom"/>
            <w:hideMark/>
          </w:tcPr>
          <w:p w14:paraId="66606272"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4.3</w:t>
            </w:r>
          </w:p>
        </w:tc>
        <w:tc>
          <w:tcPr>
            <w:tcW w:w="1418" w:type="dxa"/>
            <w:tcBorders>
              <w:top w:val="nil"/>
              <w:left w:val="nil"/>
              <w:bottom w:val="single" w:sz="4" w:space="0" w:color="auto"/>
              <w:right w:val="single" w:sz="4" w:space="0" w:color="auto"/>
            </w:tcBorders>
            <w:shd w:val="clear" w:color="auto" w:fill="auto"/>
            <w:noWrap/>
            <w:vAlign w:val="bottom"/>
            <w:hideMark/>
          </w:tcPr>
          <w:p w14:paraId="1AAD9A0A"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84.8</w:t>
            </w:r>
          </w:p>
        </w:tc>
      </w:tr>
      <w:tr w:rsidR="00ED45E5" w:rsidRPr="00ED45E5" w14:paraId="133A4211"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085F56C"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Bupr --&gt; Gap --&gt; Bupr --&gt; Gap --&gt; Bupr</w:t>
            </w:r>
          </w:p>
        </w:tc>
        <w:tc>
          <w:tcPr>
            <w:tcW w:w="1134" w:type="dxa"/>
            <w:tcBorders>
              <w:top w:val="nil"/>
              <w:left w:val="nil"/>
              <w:bottom w:val="single" w:sz="4" w:space="0" w:color="auto"/>
              <w:right w:val="single" w:sz="4" w:space="0" w:color="auto"/>
            </w:tcBorders>
            <w:shd w:val="clear" w:color="auto" w:fill="auto"/>
            <w:noWrap/>
            <w:vAlign w:val="bottom"/>
            <w:hideMark/>
          </w:tcPr>
          <w:p w14:paraId="7E24DF49"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616</w:t>
            </w:r>
          </w:p>
        </w:tc>
        <w:tc>
          <w:tcPr>
            <w:tcW w:w="992" w:type="dxa"/>
            <w:tcBorders>
              <w:top w:val="nil"/>
              <w:left w:val="nil"/>
              <w:bottom w:val="single" w:sz="4" w:space="0" w:color="auto"/>
              <w:right w:val="single" w:sz="4" w:space="0" w:color="auto"/>
            </w:tcBorders>
            <w:shd w:val="clear" w:color="auto" w:fill="auto"/>
            <w:noWrap/>
            <w:vAlign w:val="bottom"/>
            <w:hideMark/>
          </w:tcPr>
          <w:p w14:paraId="6796F66B"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4.3</w:t>
            </w:r>
          </w:p>
        </w:tc>
        <w:tc>
          <w:tcPr>
            <w:tcW w:w="1418" w:type="dxa"/>
            <w:tcBorders>
              <w:top w:val="nil"/>
              <w:left w:val="nil"/>
              <w:bottom w:val="single" w:sz="4" w:space="0" w:color="auto"/>
              <w:right w:val="single" w:sz="4" w:space="0" w:color="auto"/>
            </w:tcBorders>
            <w:shd w:val="clear" w:color="auto" w:fill="auto"/>
            <w:noWrap/>
            <w:vAlign w:val="bottom"/>
            <w:hideMark/>
          </w:tcPr>
          <w:p w14:paraId="25784D4D"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89.1</w:t>
            </w:r>
          </w:p>
        </w:tc>
      </w:tr>
      <w:tr w:rsidR="00ED45E5" w:rsidRPr="00ED45E5" w14:paraId="7551541D"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D053767"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Bupr --&gt; Gap --&gt; Nico --&gt; Gap --&gt; Nico</w:t>
            </w:r>
          </w:p>
        </w:tc>
        <w:tc>
          <w:tcPr>
            <w:tcW w:w="1134" w:type="dxa"/>
            <w:tcBorders>
              <w:top w:val="nil"/>
              <w:left w:val="nil"/>
              <w:bottom w:val="single" w:sz="4" w:space="0" w:color="auto"/>
              <w:right w:val="single" w:sz="4" w:space="0" w:color="auto"/>
            </w:tcBorders>
            <w:shd w:val="clear" w:color="auto" w:fill="auto"/>
            <w:noWrap/>
            <w:vAlign w:val="bottom"/>
            <w:hideMark/>
          </w:tcPr>
          <w:p w14:paraId="0C2B5139"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281</w:t>
            </w:r>
          </w:p>
        </w:tc>
        <w:tc>
          <w:tcPr>
            <w:tcW w:w="992" w:type="dxa"/>
            <w:tcBorders>
              <w:top w:val="nil"/>
              <w:left w:val="nil"/>
              <w:bottom w:val="single" w:sz="4" w:space="0" w:color="auto"/>
              <w:right w:val="single" w:sz="4" w:space="0" w:color="auto"/>
            </w:tcBorders>
            <w:shd w:val="clear" w:color="auto" w:fill="auto"/>
            <w:noWrap/>
            <w:vAlign w:val="bottom"/>
            <w:hideMark/>
          </w:tcPr>
          <w:p w14:paraId="74D7B346"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1.9</w:t>
            </w:r>
          </w:p>
        </w:tc>
        <w:tc>
          <w:tcPr>
            <w:tcW w:w="1418" w:type="dxa"/>
            <w:tcBorders>
              <w:top w:val="nil"/>
              <w:left w:val="nil"/>
              <w:bottom w:val="single" w:sz="4" w:space="0" w:color="auto"/>
              <w:right w:val="single" w:sz="4" w:space="0" w:color="auto"/>
            </w:tcBorders>
            <w:shd w:val="clear" w:color="auto" w:fill="auto"/>
            <w:noWrap/>
            <w:vAlign w:val="bottom"/>
            <w:hideMark/>
          </w:tcPr>
          <w:p w14:paraId="12056DC8"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91</w:t>
            </w:r>
          </w:p>
        </w:tc>
      </w:tr>
      <w:tr w:rsidR="00ED45E5" w:rsidRPr="00ED45E5" w14:paraId="5DF6D32C"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C14E128"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 xml:space="preserve">Bupr --&gt; Gap --&gt; Bupr --&gt; Gap --&gt; Vare </w:t>
            </w:r>
          </w:p>
        </w:tc>
        <w:tc>
          <w:tcPr>
            <w:tcW w:w="1134" w:type="dxa"/>
            <w:tcBorders>
              <w:top w:val="nil"/>
              <w:left w:val="nil"/>
              <w:bottom w:val="single" w:sz="4" w:space="0" w:color="auto"/>
              <w:right w:val="single" w:sz="4" w:space="0" w:color="auto"/>
            </w:tcBorders>
            <w:shd w:val="clear" w:color="auto" w:fill="auto"/>
            <w:noWrap/>
            <w:vAlign w:val="bottom"/>
            <w:hideMark/>
          </w:tcPr>
          <w:p w14:paraId="580EA8DA"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255</w:t>
            </w:r>
          </w:p>
        </w:tc>
        <w:tc>
          <w:tcPr>
            <w:tcW w:w="992" w:type="dxa"/>
            <w:tcBorders>
              <w:top w:val="nil"/>
              <w:left w:val="nil"/>
              <w:bottom w:val="single" w:sz="4" w:space="0" w:color="auto"/>
              <w:right w:val="single" w:sz="4" w:space="0" w:color="auto"/>
            </w:tcBorders>
            <w:shd w:val="clear" w:color="auto" w:fill="auto"/>
            <w:noWrap/>
            <w:vAlign w:val="bottom"/>
            <w:hideMark/>
          </w:tcPr>
          <w:p w14:paraId="45708D8F"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1.8</w:t>
            </w:r>
          </w:p>
        </w:tc>
        <w:tc>
          <w:tcPr>
            <w:tcW w:w="1418" w:type="dxa"/>
            <w:tcBorders>
              <w:top w:val="nil"/>
              <w:left w:val="nil"/>
              <w:bottom w:val="single" w:sz="4" w:space="0" w:color="auto"/>
              <w:right w:val="single" w:sz="4" w:space="0" w:color="auto"/>
            </w:tcBorders>
            <w:shd w:val="clear" w:color="auto" w:fill="auto"/>
            <w:noWrap/>
            <w:vAlign w:val="bottom"/>
            <w:hideMark/>
          </w:tcPr>
          <w:p w14:paraId="09F3830A"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92.8</w:t>
            </w:r>
          </w:p>
        </w:tc>
      </w:tr>
      <w:tr w:rsidR="00ED45E5" w:rsidRPr="00ED45E5" w14:paraId="4A9F409B"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1103632"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 xml:space="preserve">Bupr --&gt; Gap --&gt; Vare --&gt; Gap --&gt; Bupr </w:t>
            </w:r>
          </w:p>
        </w:tc>
        <w:tc>
          <w:tcPr>
            <w:tcW w:w="1134" w:type="dxa"/>
            <w:tcBorders>
              <w:top w:val="nil"/>
              <w:left w:val="nil"/>
              <w:bottom w:val="single" w:sz="4" w:space="0" w:color="auto"/>
              <w:right w:val="single" w:sz="4" w:space="0" w:color="auto"/>
            </w:tcBorders>
            <w:shd w:val="clear" w:color="auto" w:fill="auto"/>
            <w:noWrap/>
            <w:vAlign w:val="bottom"/>
            <w:hideMark/>
          </w:tcPr>
          <w:p w14:paraId="45FBF5A1"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156</w:t>
            </w:r>
          </w:p>
        </w:tc>
        <w:tc>
          <w:tcPr>
            <w:tcW w:w="992" w:type="dxa"/>
            <w:tcBorders>
              <w:top w:val="nil"/>
              <w:left w:val="nil"/>
              <w:bottom w:val="single" w:sz="4" w:space="0" w:color="auto"/>
              <w:right w:val="single" w:sz="4" w:space="0" w:color="auto"/>
            </w:tcBorders>
            <w:shd w:val="clear" w:color="auto" w:fill="auto"/>
            <w:noWrap/>
            <w:vAlign w:val="bottom"/>
            <w:hideMark/>
          </w:tcPr>
          <w:p w14:paraId="6E0AF6AE"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1.1</w:t>
            </w:r>
          </w:p>
        </w:tc>
        <w:tc>
          <w:tcPr>
            <w:tcW w:w="1418" w:type="dxa"/>
            <w:tcBorders>
              <w:top w:val="nil"/>
              <w:left w:val="nil"/>
              <w:bottom w:val="single" w:sz="4" w:space="0" w:color="auto"/>
              <w:right w:val="single" w:sz="4" w:space="0" w:color="auto"/>
            </w:tcBorders>
            <w:shd w:val="clear" w:color="auto" w:fill="auto"/>
            <w:noWrap/>
            <w:vAlign w:val="bottom"/>
            <w:hideMark/>
          </w:tcPr>
          <w:p w14:paraId="35A65F35"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93.9</w:t>
            </w:r>
          </w:p>
        </w:tc>
      </w:tr>
      <w:tr w:rsidR="00ED45E5" w:rsidRPr="00ED45E5" w14:paraId="3499D624"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A7E57AB"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 xml:space="preserve">Bupr --&gt; Gap --&gt; Vare --&gt; Gap --&gt; Nico </w:t>
            </w:r>
          </w:p>
        </w:tc>
        <w:tc>
          <w:tcPr>
            <w:tcW w:w="1134" w:type="dxa"/>
            <w:tcBorders>
              <w:top w:val="nil"/>
              <w:left w:val="nil"/>
              <w:bottom w:val="single" w:sz="4" w:space="0" w:color="auto"/>
              <w:right w:val="single" w:sz="4" w:space="0" w:color="auto"/>
            </w:tcBorders>
            <w:shd w:val="clear" w:color="auto" w:fill="auto"/>
            <w:noWrap/>
            <w:vAlign w:val="bottom"/>
            <w:hideMark/>
          </w:tcPr>
          <w:p w14:paraId="3BF62166"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129</w:t>
            </w:r>
          </w:p>
        </w:tc>
        <w:tc>
          <w:tcPr>
            <w:tcW w:w="992" w:type="dxa"/>
            <w:tcBorders>
              <w:top w:val="nil"/>
              <w:left w:val="nil"/>
              <w:bottom w:val="single" w:sz="4" w:space="0" w:color="auto"/>
              <w:right w:val="single" w:sz="4" w:space="0" w:color="auto"/>
            </w:tcBorders>
            <w:shd w:val="clear" w:color="auto" w:fill="auto"/>
            <w:noWrap/>
            <w:vAlign w:val="bottom"/>
            <w:hideMark/>
          </w:tcPr>
          <w:p w14:paraId="6C6C1D92"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0.9</w:t>
            </w:r>
          </w:p>
        </w:tc>
        <w:tc>
          <w:tcPr>
            <w:tcW w:w="1418" w:type="dxa"/>
            <w:tcBorders>
              <w:top w:val="nil"/>
              <w:left w:val="nil"/>
              <w:bottom w:val="single" w:sz="4" w:space="0" w:color="auto"/>
              <w:right w:val="single" w:sz="4" w:space="0" w:color="auto"/>
            </w:tcBorders>
            <w:shd w:val="clear" w:color="auto" w:fill="auto"/>
            <w:noWrap/>
            <w:vAlign w:val="bottom"/>
            <w:hideMark/>
          </w:tcPr>
          <w:p w14:paraId="0AB749E0"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94.8</w:t>
            </w:r>
          </w:p>
        </w:tc>
      </w:tr>
      <w:tr w:rsidR="00ED45E5" w:rsidRPr="00ED45E5" w14:paraId="6DA6C87B"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CB8ECA9"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 xml:space="preserve">Bupr --&gt; Gap --&gt; Nico --&gt; Gap --&gt; Vare </w:t>
            </w:r>
          </w:p>
        </w:tc>
        <w:tc>
          <w:tcPr>
            <w:tcW w:w="1134" w:type="dxa"/>
            <w:tcBorders>
              <w:top w:val="nil"/>
              <w:left w:val="nil"/>
              <w:bottom w:val="single" w:sz="4" w:space="0" w:color="auto"/>
              <w:right w:val="single" w:sz="4" w:space="0" w:color="auto"/>
            </w:tcBorders>
            <w:shd w:val="clear" w:color="auto" w:fill="auto"/>
            <w:noWrap/>
            <w:vAlign w:val="bottom"/>
            <w:hideMark/>
          </w:tcPr>
          <w:p w14:paraId="2D5BD11C"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114</w:t>
            </w:r>
          </w:p>
        </w:tc>
        <w:tc>
          <w:tcPr>
            <w:tcW w:w="992" w:type="dxa"/>
            <w:tcBorders>
              <w:top w:val="nil"/>
              <w:left w:val="nil"/>
              <w:bottom w:val="single" w:sz="4" w:space="0" w:color="auto"/>
              <w:right w:val="single" w:sz="4" w:space="0" w:color="auto"/>
            </w:tcBorders>
            <w:shd w:val="clear" w:color="auto" w:fill="auto"/>
            <w:noWrap/>
            <w:vAlign w:val="bottom"/>
            <w:hideMark/>
          </w:tcPr>
          <w:p w14:paraId="3671DE1D"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0.8</w:t>
            </w:r>
          </w:p>
        </w:tc>
        <w:tc>
          <w:tcPr>
            <w:tcW w:w="1418" w:type="dxa"/>
            <w:tcBorders>
              <w:top w:val="nil"/>
              <w:left w:val="nil"/>
              <w:bottom w:val="single" w:sz="4" w:space="0" w:color="auto"/>
              <w:right w:val="single" w:sz="4" w:space="0" w:color="auto"/>
            </w:tcBorders>
            <w:shd w:val="clear" w:color="auto" w:fill="auto"/>
            <w:noWrap/>
            <w:vAlign w:val="bottom"/>
            <w:hideMark/>
          </w:tcPr>
          <w:p w14:paraId="4962C830"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95.6</w:t>
            </w:r>
          </w:p>
        </w:tc>
      </w:tr>
      <w:tr w:rsidR="00ED45E5" w:rsidRPr="00ED45E5" w14:paraId="39F25889"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265F7DE"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 xml:space="preserve">Bupr --&gt; Gap --&gt; Bupr --&gt; Gap --&gt; Nico </w:t>
            </w:r>
          </w:p>
        </w:tc>
        <w:tc>
          <w:tcPr>
            <w:tcW w:w="1134" w:type="dxa"/>
            <w:tcBorders>
              <w:top w:val="nil"/>
              <w:left w:val="nil"/>
              <w:bottom w:val="single" w:sz="4" w:space="0" w:color="auto"/>
              <w:right w:val="single" w:sz="4" w:space="0" w:color="auto"/>
            </w:tcBorders>
            <w:shd w:val="clear" w:color="auto" w:fill="auto"/>
            <w:noWrap/>
            <w:vAlign w:val="bottom"/>
            <w:hideMark/>
          </w:tcPr>
          <w:p w14:paraId="0CE2C9C2"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56</w:t>
            </w:r>
          </w:p>
        </w:tc>
        <w:tc>
          <w:tcPr>
            <w:tcW w:w="992" w:type="dxa"/>
            <w:tcBorders>
              <w:top w:val="nil"/>
              <w:left w:val="nil"/>
              <w:bottom w:val="single" w:sz="4" w:space="0" w:color="auto"/>
              <w:right w:val="single" w:sz="4" w:space="0" w:color="auto"/>
            </w:tcBorders>
            <w:shd w:val="clear" w:color="auto" w:fill="auto"/>
            <w:noWrap/>
            <w:vAlign w:val="bottom"/>
            <w:hideMark/>
          </w:tcPr>
          <w:p w14:paraId="7362BD3D"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0.4</w:t>
            </w:r>
          </w:p>
        </w:tc>
        <w:tc>
          <w:tcPr>
            <w:tcW w:w="1418" w:type="dxa"/>
            <w:tcBorders>
              <w:top w:val="nil"/>
              <w:left w:val="nil"/>
              <w:bottom w:val="single" w:sz="4" w:space="0" w:color="auto"/>
              <w:right w:val="single" w:sz="4" w:space="0" w:color="auto"/>
            </w:tcBorders>
            <w:shd w:val="clear" w:color="auto" w:fill="auto"/>
            <w:noWrap/>
            <w:vAlign w:val="bottom"/>
            <w:hideMark/>
          </w:tcPr>
          <w:p w14:paraId="2E02BBFB"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96</w:t>
            </w:r>
          </w:p>
        </w:tc>
      </w:tr>
      <w:tr w:rsidR="00ED45E5" w:rsidRPr="00ED45E5" w14:paraId="7BDDC566"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13B5D22"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Bupr --&gt; Vare</w:t>
            </w:r>
          </w:p>
        </w:tc>
        <w:tc>
          <w:tcPr>
            <w:tcW w:w="1134" w:type="dxa"/>
            <w:tcBorders>
              <w:top w:val="nil"/>
              <w:left w:val="nil"/>
              <w:bottom w:val="single" w:sz="4" w:space="0" w:color="auto"/>
              <w:right w:val="single" w:sz="4" w:space="0" w:color="auto"/>
            </w:tcBorders>
            <w:shd w:val="clear" w:color="auto" w:fill="auto"/>
            <w:noWrap/>
            <w:vAlign w:val="bottom"/>
            <w:hideMark/>
          </w:tcPr>
          <w:p w14:paraId="7D70A143"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36</w:t>
            </w:r>
          </w:p>
        </w:tc>
        <w:tc>
          <w:tcPr>
            <w:tcW w:w="992" w:type="dxa"/>
            <w:tcBorders>
              <w:top w:val="nil"/>
              <w:left w:val="nil"/>
              <w:bottom w:val="single" w:sz="4" w:space="0" w:color="auto"/>
              <w:right w:val="single" w:sz="4" w:space="0" w:color="auto"/>
            </w:tcBorders>
            <w:shd w:val="clear" w:color="auto" w:fill="auto"/>
            <w:noWrap/>
            <w:vAlign w:val="bottom"/>
            <w:hideMark/>
          </w:tcPr>
          <w:p w14:paraId="64E78538"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0.2</w:t>
            </w:r>
          </w:p>
        </w:tc>
        <w:tc>
          <w:tcPr>
            <w:tcW w:w="1418" w:type="dxa"/>
            <w:tcBorders>
              <w:top w:val="nil"/>
              <w:left w:val="nil"/>
              <w:bottom w:val="single" w:sz="4" w:space="0" w:color="auto"/>
              <w:right w:val="single" w:sz="4" w:space="0" w:color="auto"/>
            </w:tcBorders>
            <w:shd w:val="clear" w:color="auto" w:fill="auto"/>
            <w:noWrap/>
            <w:vAlign w:val="bottom"/>
            <w:hideMark/>
          </w:tcPr>
          <w:p w14:paraId="20EE952E"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96.2</w:t>
            </w:r>
          </w:p>
        </w:tc>
      </w:tr>
      <w:tr w:rsidR="00ED45E5" w:rsidRPr="00ED45E5" w14:paraId="08A89079"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5EAC308"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Bupr --&gt; Nico</w:t>
            </w:r>
          </w:p>
        </w:tc>
        <w:tc>
          <w:tcPr>
            <w:tcW w:w="1134" w:type="dxa"/>
            <w:tcBorders>
              <w:top w:val="nil"/>
              <w:left w:val="nil"/>
              <w:bottom w:val="single" w:sz="4" w:space="0" w:color="auto"/>
              <w:right w:val="single" w:sz="4" w:space="0" w:color="auto"/>
            </w:tcBorders>
            <w:shd w:val="clear" w:color="auto" w:fill="auto"/>
            <w:noWrap/>
            <w:vAlign w:val="bottom"/>
            <w:hideMark/>
          </w:tcPr>
          <w:p w14:paraId="1A48CFD1"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34</w:t>
            </w:r>
          </w:p>
        </w:tc>
        <w:tc>
          <w:tcPr>
            <w:tcW w:w="992" w:type="dxa"/>
            <w:tcBorders>
              <w:top w:val="nil"/>
              <w:left w:val="nil"/>
              <w:bottom w:val="single" w:sz="4" w:space="0" w:color="auto"/>
              <w:right w:val="single" w:sz="4" w:space="0" w:color="auto"/>
            </w:tcBorders>
            <w:shd w:val="clear" w:color="auto" w:fill="auto"/>
            <w:noWrap/>
            <w:vAlign w:val="bottom"/>
            <w:hideMark/>
          </w:tcPr>
          <w:p w14:paraId="76594A75"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0.2</w:t>
            </w:r>
          </w:p>
        </w:tc>
        <w:tc>
          <w:tcPr>
            <w:tcW w:w="1418" w:type="dxa"/>
            <w:tcBorders>
              <w:top w:val="nil"/>
              <w:left w:val="nil"/>
              <w:bottom w:val="single" w:sz="4" w:space="0" w:color="auto"/>
              <w:right w:val="single" w:sz="4" w:space="0" w:color="auto"/>
            </w:tcBorders>
            <w:shd w:val="clear" w:color="auto" w:fill="auto"/>
            <w:noWrap/>
            <w:vAlign w:val="bottom"/>
            <w:hideMark/>
          </w:tcPr>
          <w:p w14:paraId="5A8A59EC"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96.4</w:t>
            </w:r>
          </w:p>
        </w:tc>
      </w:tr>
      <w:tr w:rsidR="00ED45E5" w:rsidRPr="00ED45E5" w14:paraId="3C51A43B" w14:textId="77777777" w:rsidTr="00ED45E5">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5BB2E59" w14:textId="77777777" w:rsidR="00ED45E5" w:rsidRPr="00ED45E5" w:rsidRDefault="00ED45E5" w:rsidP="00ED45E5">
            <w:pPr>
              <w:spacing w:after="0"/>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Bupr --&gt; Bupr+Vare --&gt; Vare</w:t>
            </w:r>
          </w:p>
        </w:tc>
        <w:tc>
          <w:tcPr>
            <w:tcW w:w="1134" w:type="dxa"/>
            <w:tcBorders>
              <w:top w:val="nil"/>
              <w:left w:val="nil"/>
              <w:bottom w:val="single" w:sz="4" w:space="0" w:color="auto"/>
              <w:right w:val="single" w:sz="4" w:space="0" w:color="auto"/>
            </w:tcBorders>
            <w:shd w:val="clear" w:color="auto" w:fill="auto"/>
            <w:noWrap/>
            <w:vAlign w:val="bottom"/>
            <w:hideMark/>
          </w:tcPr>
          <w:p w14:paraId="38EDF59B"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32</w:t>
            </w:r>
          </w:p>
        </w:tc>
        <w:tc>
          <w:tcPr>
            <w:tcW w:w="992" w:type="dxa"/>
            <w:tcBorders>
              <w:top w:val="nil"/>
              <w:left w:val="nil"/>
              <w:bottom w:val="single" w:sz="4" w:space="0" w:color="auto"/>
              <w:right w:val="single" w:sz="4" w:space="0" w:color="auto"/>
            </w:tcBorders>
            <w:shd w:val="clear" w:color="auto" w:fill="auto"/>
            <w:noWrap/>
            <w:vAlign w:val="bottom"/>
            <w:hideMark/>
          </w:tcPr>
          <w:p w14:paraId="1BF41D05"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0.2</w:t>
            </w:r>
          </w:p>
        </w:tc>
        <w:tc>
          <w:tcPr>
            <w:tcW w:w="1418" w:type="dxa"/>
            <w:tcBorders>
              <w:top w:val="nil"/>
              <w:left w:val="nil"/>
              <w:bottom w:val="single" w:sz="4" w:space="0" w:color="auto"/>
              <w:right w:val="single" w:sz="4" w:space="0" w:color="auto"/>
            </w:tcBorders>
            <w:shd w:val="clear" w:color="auto" w:fill="auto"/>
            <w:noWrap/>
            <w:vAlign w:val="bottom"/>
            <w:hideMark/>
          </w:tcPr>
          <w:p w14:paraId="7F09F6E5" w14:textId="77777777" w:rsidR="00ED45E5" w:rsidRPr="00ED45E5" w:rsidRDefault="00ED45E5" w:rsidP="00ED45E5">
            <w:pPr>
              <w:spacing w:after="0"/>
              <w:jc w:val="right"/>
              <w:rPr>
                <w:rFonts w:ascii="Calibri" w:eastAsia="Times New Roman" w:hAnsi="Calibri" w:cs="Times New Roman"/>
                <w:color w:val="000000"/>
                <w:sz w:val="22"/>
                <w:szCs w:val="22"/>
              </w:rPr>
            </w:pPr>
            <w:r w:rsidRPr="00ED45E5">
              <w:rPr>
                <w:rFonts w:ascii="Calibri" w:eastAsia="Times New Roman" w:hAnsi="Calibri" w:cs="Times New Roman"/>
                <w:color w:val="000000"/>
                <w:sz w:val="22"/>
                <w:szCs w:val="22"/>
              </w:rPr>
              <w:t>96.6</w:t>
            </w:r>
          </w:p>
        </w:tc>
      </w:tr>
    </w:tbl>
    <w:p w14:paraId="23163AC9" w14:textId="77777777" w:rsidR="000803DB" w:rsidRPr="00A963C0" w:rsidRDefault="000803DB" w:rsidP="000803DB">
      <w:pPr>
        <w:spacing w:after="0"/>
        <w:rPr>
          <w:rFonts w:cstheme="minorHAnsi"/>
          <w:i/>
          <w:sz w:val="20"/>
          <w:szCs w:val="20"/>
          <w:lang w:val="en-US"/>
        </w:rPr>
      </w:pPr>
      <w:r w:rsidRPr="00A963C0">
        <w:rPr>
          <w:rFonts w:cstheme="minorHAnsi"/>
          <w:sz w:val="20"/>
          <w:szCs w:val="20"/>
          <w:lang w:val="en-US"/>
        </w:rPr>
        <w:t xml:space="preserve">Legend: </w:t>
      </w:r>
      <w:r w:rsidRPr="00A963C0">
        <w:rPr>
          <w:rFonts w:cstheme="minorHAnsi"/>
          <w:i/>
          <w:sz w:val="20"/>
          <w:szCs w:val="20"/>
          <w:lang w:val="en-US"/>
        </w:rPr>
        <w:t xml:space="preserve">“+” denotes concurrent use of medicines; </w:t>
      </w:r>
    </w:p>
    <w:p w14:paraId="26D9F236" w14:textId="77777777" w:rsidR="000803DB" w:rsidRPr="00A963C0" w:rsidRDefault="000803DB" w:rsidP="000803DB">
      <w:pPr>
        <w:spacing w:after="0"/>
        <w:rPr>
          <w:rFonts w:cstheme="minorHAnsi"/>
          <w:i/>
          <w:sz w:val="20"/>
          <w:szCs w:val="20"/>
          <w:lang w:val="en-US"/>
        </w:rPr>
      </w:pPr>
      <w:r w:rsidRPr="00A963C0">
        <w:rPr>
          <w:rFonts w:cstheme="minorHAnsi"/>
          <w:i/>
          <w:sz w:val="20"/>
          <w:szCs w:val="20"/>
          <w:lang w:val="en-US"/>
        </w:rPr>
        <w:t xml:space="preserve">              “--&gt;” denotes transition from one therapy to another</w:t>
      </w:r>
    </w:p>
    <w:p w14:paraId="122DB625" w14:textId="7374A2CD" w:rsidR="000803DB" w:rsidRDefault="000803DB" w:rsidP="000803DB">
      <w:pPr>
        <w:rPr>
          <w:rFonts w:cstheme="minorHAnsi"/>
          <w:sz w:val="20"/>
          <w:szCs w:val="20"/>
          <w:lang w:val="en-US"/>
        </w:rPr>
      </w:pPr>
      <w:r>
        <w:rPr>
          <w:rFonts w:cstheme="minorHAnsi"/>
          <w:sz w:val="20"/>
          <w:szCs w:val="20"/>
          <w:lang w:val="en-US"/>
        </w:rPr>
        <w:t>Vare</w:t>
      </w:r>
      <w:r w:rsidRPr="00A963C0">
        <w:rPr>
          <w:rFonts w:cstheme="minorHAnsi"/>
          <w:sz w:val="20"/>
          <w:szCs w:val="20"/>
          <w:lang w:val="en-US"/>
        </w:rPr>
        <w:t xml:space="preserve"> = </w:t>
      </w:r>
      <w:r w:rsidR="006B454E">
        <w:rPr>
          <w:rFonts w:cstheme="minorHAnsi"/>
          <w:sz w:val="20"/>
          <w:szCs w:val="20"/>
          <w:lang w:val="en-US"/>
        </w:rPr>
        <w:t>Varenicline</w:t>
      </w:r>
      <w:r w:rsidRPr="00A963C0">
        <w:rPr>
          <w:rFonts w:cstheme="minorHAnsi"/>
          <w:sz w:val="20"/>
          <w:szCs w:val="20"/>
          <w:lang w:val="en-US"/>
        </w:rPr>
        <w:t xml:space="preserve">; </w:t>
      </w:r>
      <w:r>
        <w:rPr>
          <w:rFonts w:cstheme="minorHAnsi"/>
          <w:sz w:val="20"/>
          <w:szCs w:val="20"/>
          <w:lang w:val="en-US"/>
        </w:rPr>
        <w:t>NRT</w:t>
      </w:r>
      <w:r w:rsidRPr="00A963C0">
        <w:rPr>
          <w:rFonts w:cstheme="minorHAnsi"/>
          <w:sz w:val="20"/>
          <w:szCs w:val="20"/>
          <w:lang w:val="en-US"/>
        </w:rPr>
        <w:t xml:space="preserve"> = </w:t>
      </w:r>
      <w:r>
        <w:rPr>
          <w:rFonts w:cstheme="minorHAnsi"/>
          <w:sz w:val="20"/>
          <w:szCs w:val="20"/>
          <w:lang w:val="en-US"/>
        </w:rPr>
        <w:t>Nicotine Replacement Therapy; Bupr = Bupropion; Gap – gap in therapy</w:t>
      </w:r>
    </w:p>
    <w:p w14:paraId="7EB16994" w14:textId="77777777" w:rsidR="0076518F" w:rsidRDefault="0076518F" w:rsidP="00030E4C">
      <w:pPr>
        <w:rPr>
          <w:lang w:eastAsia="en-US"/>
        </w:rPr>
      </w:pPr>
    </w:p>
    <w:p w14:paraId="772C3F2F" w14:textId="77777777" w:rsidR="000B6A5D" w:rsidRDefault="000B6A5D">
      <w:pPr>
        <w:spacing w:after="0"/>
        <w:rPr>
          <w:rFonts w:eastAsia="Times New Roman" w:cs="Arial"/>
          <w:b/>
          <w:bCs/>
          <w:color w:val="4F81BD" w:themeColor="accent1"/>
          <w:sz w:val="32"/>
          <w:szCs w:val="32"/>
          <w:lang w:eastAsia="en-US"/>
        </w:rPr>
      </w:pPr>
      <w:r>
        <w:rPr>
          <w:i/>
          <w:iCs/>
          <w:color w:val="4F81BD" w:themeColor="accent1"/>
          <w:sz w:val="32"/>
          <w:szCs w:val="32"/>
        </w:rPr>
        <w:br w:type="page"/>
      </w:r>
    </w:p>
    <w:p w14:paraId="7780E7FB" w14:textId="5894A12F" w:rsidR="00141886" w:rsidRPr="00847FD3" w:rsidRDefault="00486248" w:rsidP="00847FD3">
      <w:pPr>
        <w:pStyle w:val="Heading3"/>
        <w:rPr>
          <w:rFonts w:asciiTheme="minorHAnsi" w:hAnsiTheme="minorHAnsi" w:cstheme="minorHAnsi"/>
          <w:b/>
          <w:i/>
          <w:iCs/>
          <w:sz w:val="28"/>
          <w:szCs w:val="28"/>
        </w:rPr>
      </w:pPr>
      <w:bookmarkStart w:id="49" w:name="_Toc72840902"/>
      <w:r>
        <w:rPr>
          <w:rFonts w:asciiTheme="minorHAnsi" w:hAnsiTheme="minorHAnsi" w:cstheme="minorHAnsi"/>
          <w:b/>
          <w:i/>
          <w:sz w:val="28"/>
          <w:szCs w:val="28"/>
        </w:rPr>
        <w:t>2.4</w:t>
      </w:r>
      <w:r w:rsidR="008819BE" w:rsidRPr="00847FD3">
        <w:rPr>
          <w:rFonts w:asciiTheme="minorHAnsi" w:hAnsiTheme="minorHAnsi" w:cstheme="minorHAnsi"/>
          <w:b/>
          <w:i/>
          <w:sz w:val="28"/>
          <w:szCs w:val="28"/>
        </w:rPr>
        <w:t xml:space="preserve">.7 </w:t>
      </w:r>
      <w:r w:rsidR="00141886" w:rsidRPr="00847FD3">
        <w:rPr>
          <w:rFonts w:asciiTheme="minorHAnsi" w:hAnsiTheme="minorHAnsi" w:cstheme="minorHAnsi"/>
          <w:b/>
          <w:i/>
          <w:sz w:val="28"/>
          <w:szCs w:val="28"/>
        </w:rPr>
        <w:t>Number of therapies and length of treatment with smoking cessation medicines</w:t>
      </w:r>
      <w:bookmarkEnd w:id="49"/>
    </w:p>
    <w:p w14:paraId="27507668" w14:textId="77777777" w:rsidR="00141886" w:rsidRPr="009F53B2" w:rsidRDefault="009F53B2" w:rsidP="00141886">
      <w:pPr>
        <w:rPr>
          <w:b/>
          <w:bCs/>
          <w:lang w:eastAsia="en-US"/>
        </w:rPr>
      </w:pPr>
      <w:r w:rsidRPr="009F53B2">
        <w:rPr>
          <w:b/>
          <w:bCs/>
          <w:lang w:eastAsia="en-US"/>
        </w:rPr>
        <w:t xml:space="preserve">Duration of first treatment episode </w:t>
      </w:r>
      <w:r w:rsidR="007D2224">
        <w:rPr>
          <w:b/>
          <w:bCs/>
          <w:lang w:eastAsia="en-US"/>
        </w:rPr>
        <w:t>to cessation or end of follow-up</w:t>
      </w:r>
    </w:p>
    <w:p w14:paraId="54DB2EC0" w14:textId="77777777" w:rsidR="009F53B2" w:rsidRDefault="009F53B2" w:rsidP="009F53B2">
      <w:pPr>
        <w:rPr>
          <w:rFonts w:cstheme="minorHAnsi"/>
        </w:rPr>
      </w:pPr>
      <w:r w:rsidRPr="008C3D54">
        <w:rPr>
          <w:rFonts w:cstheme="minorHAnsi"/>
          <w:lang w:val="en-US"/>
        </w:rPr>
        <w:t xml:space="preserve">There were </w:t>
      </w:r>
      <w:r>
        <w:rPr>
          <w:rFonts w:cstheme="minorHAnsi"/>
          <w:lang w:val="en-US"/>
        </w:rPr>
        <w:t>740</w:t>
      </w:r>
      <w:r w:rsidRPr="008C3D54">
        <w:rPr>
          <w:rFonts w:cstheme="minorHAnsi"/>
          <w:lang w:val="en-US"/>
        </w:rPr>
        <w:t>,0</w:t>
      </w:r>
      <w:r>
        <w:rPr>
          <w:rFonts w:cstheme="minorHAnsi"/>
          <w:lang w:val="en-US"/>
        </w:rPr>
        <w:t>82</w:t>
      </w:r>
      <w:r w:rsidRPr="008C3D54">
        <w:rPr>
          <w:rFonts w:cstheme="minorHAnsi"/>
          <w:lang w:val="en-US"/>
        </w:rPr>
        <w:t xml:space="preserve"> people who initiated </w:t>
      </w:r>
      <w:r>
        <w:rPr>
          <w:rFonts w:cstheme="minorHAnsi"/>
          <w:lang w:val="en-US"/>
        </w:rPr>
        <w:t>smoking cessation medicine (first ever prescription)</w:t>
      </w:r>
      <w:r w:rsidRPr="008C3D54">
        <w:rPr>
          <w:rFonts w:cstheme="minorHAnsi"/>
          <w:lang w:val="en-US"/>
        </w:rPr>
        <w:t xml:space="preserve"> between 1 J</w:t>
      </w:r>
      <w:r>
        <w:rPr>
          <w:rFonts w:cstheme="minorHAnsi"/>
          <w:lang w:val="en-US"/>
        </w:rPr>
        <w:t>uly</w:t>
      </w:r>
      <w:r w:rsidRPr="008C3D54">
        <w:rPr>
          <w:rFonts w:cstheme="minorHAnsi"/>
          <w:lang w:val="en-US"/>
        </w:rPr>
        <w:t xml:space="preserve"> 2010 and 3</w:t>
      </w:r>
      <w:r>
        <w:rPr>
          <w:rFonts w:cstheme="minorHAnsi"/>
          <w:lang w:val="en-US"/>
        </w:rPr>
        <w:t>0</w:t>
      </w:r>
      <w:r w:rsidRPr="008C3D54">
        <w:rPr>
          <w:rFonts w:cstheme="minorHAnsi"/>
          <w:lang w:val="en-US"/>
        </w:rPr>
        <w:t xml:space="preserve"> </w:t>
      </w:r>
      <w:r>
        <w:rPr>
          <w:rFonts w:cstheme="minorHAnsi"/>
          <w:lang w:val="en-US"/>
        </w:rPr>
        <w:t>June</w:t>
      </w:r>
      <w:r w:rsidRPr="008C3D54">
        <w:rPr>
          <w:rFonts w:cstheme="minorHAnsi"/>
          <w:lang w:val="en-US"/>
        </w:rPr>
        <w:t xml:space="preserve"> 201</w:t>
      </w:r>
      <w:r>
        <w:rPr>
          <w:rFonts w:cstheme="minorHAnsi"/>
          <w:lang w:val="en-US"/>
        </w:rPr>
        <w:t>5</w:t>
      </w:r>
      <w:r w:rsidRPr="008C3D54">
        <w:rPr>
          <w:rFonts w:cstheme="minorHAnsi"/>
          <w:lang w:val="en-US"/>
        </w:rPr>
        <w:t xml:space="preserve">. </w:t>
      </w:r>
      <w:r w:rsidRPr="008C3D54">
        <w:rPr>
          <w:rFonts w:cstheme="minorHAnsi"/>
        </w:rPr>
        <w:t>The mean age at initiation was 4</w:t>
      </w:r>
      <w:r>
        <w:rPr>
          <w:rFonts w:cstheme="minorHAnsi"/>
        </w:rPr>
        <w:t>3</w:t>
      </w:r>
      <w:r w:rsidRPr="008C3D54">
        <w:rPr>
          <w:rFonts w:cstheme="minorHAnsi"/>
        </w:rPr>
        <w:t xml:space="preserve"> years (SD=1</w:t>
      </w:r>
      <w:r>
        <w:rPr>
          <w:rFonts w:cstheme="minorHAnsi"/>
        </w:rPr>
        <w:t>4</w:t>
      </w:r>
      <w:r w:rsidRPr="008C3D54">
        <w:rPr>
          <w:rFonts w:cstheme="minorHAnsi"/>
        </w:rPr>
        <w:t>.</w:t>
      </w:r>
      <w:r>
        <w:rPr>
          <w:rFonts w:cstheme="minorHAnsi"/>
        </w:rPr>
        <w:t>6</w:t>
      </w:r>
      <w:r w:rsidRPr="008C3D54">
        <w:rPr>
          <w:rFonts w:cstheme="minorHAnsi"/>
        </w:rPr>
        <w:t>), with 5</w:t>
      </w:r>
      <w:r>
        <w:rPr>
          <w:rFonts w:cstheme="minorHAnsi"/>
        </w:rPr>
        <w:t>6</w:t>
      </w:r>
      <w:r w:rsidRPr="008C3D54">
        <w:rPr>
          <w:rFonts w:cstheme="minorHAnsi"/>
        </w:rPr>
        <w:t>% being males</w:t>
      </w:r>
      <w:r w:rsidR="00F82771">
        <w:rPr>
          <w:rFonts w:cstheme="minorHAnsi"/>
        </w:rPr>
        <w:t xml:space="preserve"> (Table 8)</w:t>
      </w:r>
      <w:r w:rsidRPr="008C3D54">
        <w:rPr>
          <w:rFonts w:cstheme="minorHAnsi"/>
        </w:rPr>
        <w:t>.</w:t>
      </w:r>
      <w:r w:rsidR="00F82771">
        <w:rPr>
          <w:rFonts w:cstheme="minorHAnsi"/>
        </w:rPr>
        <w:t xml:space="preserve"> The cohort demographics </w:t>
      </w:r>
      <w:r w:rsidR="00C66862">
        <w:rPr>
          <w:rFonts w:cstheme="minorHAnsi"/>
        </w:rPr>
        <w:t xml:space="preserve">by type of index therapy </w:t>
      </w:r>
      <w:r w:rsidR="00F82771">
        <w:rPr>
          <w:rFonts w:cstheme="minorHAnsi"/>
        </w:rPr>
        <w:t>show that NRT initiators were older with more females compared to varenicline and bupropion initiators (Table 8).</w:t>
      </w:r>
    </w:p>
    <w:p w14:paraId="779D53B6" w14:textId="77777777" w:rsidR="009F53B2" w:rsidRDefault="009F53B2" w:rsidP="009F53B2">
      <w:pPr>
        <w:rPr>
          <w:rFonts w:cstheme="minorHAnsi"/>
        </w:rPr>
      </w:pPr>
      <w:r w:rsidRPr="00F82771">
        <w:rPr>
          <w:rFonts w:cstheme="minorHAnsi"/>
          <w:b/>
          <w:bCs/>
        </w:rPr>
        <w:t>Table 8</w:t>
      </w:r>
      <w:r>
        <w:rPr>
          <w:rFonts w:cstheme="minorHAnsi"/>
        </w:rPr>
        <w:t xml:space="preserve">. </w:t>
      </w:r>
      <w:r w:rsidR="00F82771">
        <w:rPr>
          <w:rFonts w:cstheme="minorHAnsi"/>
        </w:rPr>
        <w:t>Cohort demographics</w:t>
      </w:r>
    </w:p>
    <w:tbl>
      <w:tblPr>
        <w:tblW w:w="7698" w:type="dxa"/>
        <w:tblInd w:w="93" w:type="dxa"/>
        <w:tblLook w:val="04A0" w:firstRow="1" w:lastRow="0" w:firstColumn="1" w:lastColumn="0" w:noHBand="0" w:noVBand="1"/>
      </w:tblPr>
      <w:tblGrid>
        <w:gridCol w:w="2312"/>
        <w:gridCol w:w="2126"/>
        <w:gridCol w:w="1701"/>
        <w:gridCol w:w="1559"/>
      </w:tblGrid>
      <w:tr w:rsidR="009F53B2" w:rsidRPr="000B6A5D" w14:paraId="25A02BA0" w14:textId="77777777" w:rsidTr="00F82771">
        <w:trPr>
          <w:trHeight w:val="61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176C2" w14:textId="77777777" w:rsidR="009F53B2" w:rsidRPr="000B6A5D" w:rsidRDefault="009F53B2" w:rsidP="009F53B2">
            <w:pPr>
              <w:spacing w:after="0"/>
              <w:rPr>
                <w:rFonts w:ascii="Calibri" w:eastAsia="Times New Roman" w:hAnsi="Calibri" w:cs="Times New Roman"/>
                <w:b/>
                <w:color w:val="000000"/>
              </w:rPr>
            </w:pPr>
            <w:r w:rsidRPr="000B6A5D">
              <w:rPr>
                <w:rFonts w:ascii="Calibri" w:eastAsia="Times New Roman" w:hAnsi="Calibri" w:cs="Times New Roman"/>
                <w:b/>
                <w:color w:val="000000"/>
              </w:rPr>
              <w:t>Medicine at initiation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255E43D" w14:textId="77777777" w:rsidR="009F53B2" w:rsidRPr="000B6A5D" w:rsidRDefault="009F53B2" w:rsidP="009F53B2">
            <w:pPr>
              <w:spacing w:after="0"/>
              <w:rPr>
                <w:rFonts w:ascii="Calibri" w:eastAsia="Times New Roman" w:hAnsi="Calibri" w:cs="Times New Roman"/>
                <w:b/>
                <w:color w:val="000000"/>
              </w:rPr>
            </w:pPr>
            <w:r w:rsidRPr="000B6A5D">
              <w:rPr>
                <w:rFonts w:ascii="Calibri" w:eastAsia="Times New Roman" w:hAnsi="Calibri" w:cs="Times New Roman"/>
                <w:b/>
                <w:color w:val="000000"/>
              </w:rPr>
              <w:t>Number of people</w:t>
            </w:r>
          </w:p>
        </w:tc>
        <w:tc>
          <w:tcPr>
            <w:tcW w:w="1701" w:type="dxa"/>
            <w:tcBorders>
              <w:top w:val="single" w:sz="4" w:space="0" w:color="auto"/>
              <w:left w:val="nil"/>
              <w:bottom w:val="single" w:sz="4" w:space="0" w:color="auto"/>
              <w:right w:val="single" w:sz="4" w:space="0" w:color="auto"/>
            </w:tcBorders>
          </w:tcPr>
          <w:p w14:paraId="6421EA59" w14:textId="77777777" w:rsidR="00F82771" w:rsidRPr="000B6A5D" w:rsidRDefault="00F82771" w:rsidP="009F53B2">
            <w:pPr>
              <w:spacing w:after="0"/>
              <w:rPr>
                <w:rFonts w:ascii="Calibri" w:eastAsia="Times New Roman" w:hAnsi="Calibri" w:cs="Times New Roman"/>
                <w:b/>
                <w:color w:val="000000"/>
              </w:rPr>
            </w:pPr>
          </w:p>
          <w:p w14:paraId="042851A5" w14:textId="77777777" w:rsidR="009F53B2" w:rsidRPr="000B6A5D" w:rsidRDefault="009F53B2" w:rsidP="009F53B2">
            <w:pPr>
              <w:spacing w:after="0"/>
              <w:rPr>
                <w:rFonts w:ascii="Calibri" w:eastAsia="Times New Roman" w:hAnsi="Calibri" w:cs="Times New Roman"/>
                <w:b/>
                <w:color w:val="000000"/>
              </w:rPr>
            </w:pPr>
            <w:r w:rsidRPr="000B6A5D">
              <w:rPr>
                <w:rFonts w:ascii="Calibri" w:eastAsia="Times New Roman" w:hAnsi="Calibri" w:cs="Times New Roman"/>
                <w:b/>
                <w:color w:val="000000"/>
              </w:rPr>
              <w:t>Mean age (SD)</w:t>
            </w:r>
          </w:p>
        </w:tc>
        <w:tc>
          <w:tcPr>
            <w:tcW w:w="1559" w:type="dxa"/>
            <w:tcBorders>
              <w:top w:val="single" w:sz="4" w:space="0" w:color="auto"/>
              <w:left w:val="nil"/>
              <w:bottom w:val="single" w:sz="4" w:space="0" w:color="auto"/>
              <w:right w:val="single" w:sz="4" w:space="0" w:color="auto"/>
            </w:tcBorders>
          </w:tcPr>
          <w:p w14:paraId="19D0DD58" w14:textId="77777777" w:rsidR="00F82771" w:rsidRPr="000B6A5D" w:rsidRDefault="00F82771" w:rsidP="009F53B2">
            <w:pPr>
              <w:spacing w:after="0"/>
              <w:rPr>
                <w:rFonts w:ascii="Calibri" w:eastAsia="Times New Roman" w:hAnsi="Calibri" w:cs="Times New Roman"/>
                <w:b/>
                <w:color w:val="000000"/>
              </w:rPr>
            </w:pPr>
          </w:p>
          <w:p w14:paraId="7CC8277F" w14:textId="77777777" w:rsidR="009F53B2" w:rsidRPr="000B6A5D" w:rsidRDefault="00F82771" w:rsidP="009F53B2">
            <w:pPr>
              <w:spacing w:after="0"/>
              <w:rPr>
                <w:rFonts w:ascii="Calibri" w:eastAsia="Times New Roman" w:hAnsi="Calibri" w:cs="Times New Roman"/>
                <w:b/>
                <w:color w:val="000000"/>
              </w:rPr>
            </w:pPr>
            <w:r w:rsidRPr="000B6A5D">
              <w:rPr>
                <w:rFonts w:ascii="Calibri" w:eastAsia="Times New Roman" w:hAnsi="Calibri" w:cs="Times New Roman"/>
                <w:b/>
                <w:color w:val="000000"/>
              </w:rPr>
              <w:t>Gender</w:t>
            </w:r>
          </w:p>
        </w:tc>
      </w:tr>
      <w:tr w:rsidR="009F53B2" w:rsidRPr="00CC1E71" w14:paraId="471DA976" w14:textId="77777777" w:rsidTr="00F82771">
        <w:trPr>
          <w:trHeight w:val="300"/>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0CB64F9A" w14:textId="77777777" w:rsidR="009F53B2" w:rsidRPr="00CC1E71" w:rsidRDefault="009F53B2" w:rsidP="009F53B2">
            <w:pPr>
              <w:spacing w:after="0"/>
              <w:rPr>
                <w:rFonts w:ascii="Calibri" w:eastAsia="Times New Roman" w:hAnsi="Calibri" w:cs="Times New Roman"/>
                <w:color w:val="000000"/>
              </w:rPr>
            </w:pPr>
            <w:r>
              <w:rPr>
                <w:rFonts w:ascii="Calibri" w:eastAsia="Times New Roman" w:hAnsi="Calibri" w:cs="Times New Roman"/>
                <w:color w:val="000000"/>
              </w:rPr>
              <w:t>Varenicline</w:t>
            </w:r>
          </w:p>
        </w:tc>
        <w:tc>
          <w:tcPr>
            <w:tcW w:w="2126" w:type="dxa"/>
            <w:tcBorders>
              <w:top w:val="nil"/>
              <w:left w:val="nil"/>
              <w:bottom w:val="single" w:sz="4" w:space="0" w:color="auto"/>
              <w:right w:val="single" w:sz="4" w:space="0" w:color="auto"/>
            </w:tcBorders>
            <w:shd w:val="clear" w:color="auto" w:fill="auto"/>
            <w:noWrap/>
            <w:vAlign w:val="bottom"/>
            <w:hideMark/>
          </w:tcPr>
          <w:p w14:paraId="49187C72" w14:textId="77777777" w:rsidR="009F53B2" w:rsidRPr="00CC1E71"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541,077</w:t>
            </w:r>
          </w:p>
        </w:tc>
        <w:tc>
          <w:tcPr>
            <w:tcW w:w="1701" w:type="dxa"/>
            <w:tcBorders>
              <w:top w:val="nil"/>
              <w:left w:val="nil"/>
              <w:bottom w:val="single" w:sz="4" w:space="0" w:color="auto"/>
              <w:right w:val="single" w:sz="4" w:space="0" w:color="auto"/>
            </w:tcBorders>
          </w:tcPr>
          <w:p w14:paraId="4B6AEF6A" w14:textId="77777777" w:rsidR="00F82771" w:rsidRDefault="00F82771" w:rsidP="009F53B2">
            <w:pPr>
              <w:spacing w:after="0"/>
              <w:jc w:val="right"/>
              <w:rPr>
                <w:rFonts w:ascii="Calibri" w:eastAsia="Times New Roman" w:hAnsi="Calibri" w:cs="Times New Roman"/>
                <w:color w:val="000000"/>
              </w:rPr>
            </w:pPr>
          </w:p>
          <w:p w14:paraId="606F92B8" w14:textId="77777777" w:rsidR="009F53B2"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41 (13.9)</w:t>
            </w:r>
          </w:p>
        </w:tc>
        <w:tc>
          <w:tcPr>
            <w:tcW w:w="1559" w:type="dxa"/>
            <w:tcBorders>
              <w:top w:val="nil"/>
              <w:left w:val="nil"/>
              <w:bottom w:val="single" w:sz="4" w:space="0" w:color="auto"/>
              <w:right w:val="single" w:sz="4" w:space="0" w:color="auto"/>
            </w:tcBorders>
          </w:tcPr>
          <w:p w14:paraId="335C752F" w14:textId="77777777" w:rsidR="009F53B2"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58% males</w:t>
            </w:r>
          </w:p>
          <w:p w14:paraId="7D086BD4" w14:textId="77777777" w:rsidR="00F82771"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42% females</w:t>
            </w:r>
          </w:p>
        </w:tc>
      </w:tr>
      <w:tr w:rsidR="009F53B2" w:rsidRPr="00CC1E71" w14:paraId="6A69F6C5" w14:textId="77777777" w:rsidTr="00F82771">
        <w:trPr>
          <w:trHeight w:val="300"/>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57FB0109" w14:textId="77777777" w:rsidR="009F53B2" w:rsidRPr="00CC1E71" w:rsidRDefault="009F53B2" w:rsidP="009F53B2">
            <w:pPr>
              <w:spacing w:after="0"/>
              <w:rPr>
                <w:rFonts w:ascii="Calibri" w:eastAsia="Times New Roman" w:hAnsi="Calibri" w:cs="Times New Roman"/>
                <w:color w:val="000000"/>
              </w:rPr>
            </w:pPr>
            <w:r>
              <w:rPr>
                <w:rFonts w:ascii="Calibri" w:eastAsia="Times New Roman" w:hAnsi="Calibri" w:cs="Times New Roman"/>
                <w:color w:val="000000"/>
              </w:rPr>
              <w:t>NRT</w:t>
            </w:r>
          </w:p>
        </w:tc>
        <w:tc>
          <w:tcPr>
            <w:tcW w:w="2126" w:type="dxa"/>
            <w:tcBorders>
              <w:top w:val="nil"/>
              <w:left w:val="nil"/>
              <w:bottom w:val="single" w:sz="4" w:space="0" w:color="auto"/>
              <w:right w:val="single" w:sz="4" w:space="0" w:color="auto"/>
            </w:tcBorders>
            <w:shd w:val="clear" w:color="auto" w:fill="auto"/>
            <w:noWrap/>
            <w:vAlign w:val="bottom"/>
            <w:hideMark/>
          </w:tcPr>
          <w:p w14:paraId="5363A90F" w14:textId="77777777" w:rsidR="009F53B2" w:rsidRPr="00CC1E71"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184,537</w:t>
            </w:r>
          </w:p>
        </w:tc>
        <w:tc>
          <w:tcPr>
            <w:tcW w:w="1701" w:type="dxa"/>
            <w:tcBorders>
              <w:top w:val="nil"/>
              <w:left w:val="nil"/>
              <w:bottom w:val="single" w:sz="4" w:space="0" w:color="auto"/>
              <w:right w:val="single" w:sz="4" w:space="0" w:color="auto"/>
            </w:tcBorders>
          </w:tcPr>
          <w:p w14:paraId="315988C8" w14:textId="77777777" w:rsidR="00F82771" w:rsidRDefault="00F82771" w:rsidP="009F53B2">
            <w:pPr>
              <w:spacing w:after="0"/>
              <w:jc w:val="right"/>
              <w:rPr>
                <w:rFonts w:ascii="Calibri" w:eastAsia="Times New Roman" w:hAnsi="Calibri" w:cs="Times New Roman"/>
                <w:color w:val="000000"/>
              </w:rPr>
            </w:pPr>
          </w:p>
          <w:p w14:paraId="52E11C73" w14:textId="77777777" w:rsidR="009F53B2"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48 (15.6)</w:t>
            </w:r>
          </w:p>
        </w:tc>
        <w:tc>
          <w:tcPr>
            <w:tcW w:w="1559" w:type="dxa"/>
            <w:tcBorders>
              <w:top w:val="nil"/>
              <w:left w:val="nil"/>
              <w:bottom w:val="single" w:sz="4" w:space="0" w:color="auto"/>
              <w:right w:val="single" w:sz="4" w:space="0" w:color="auto"/>
            </w:tcBorders>
          </w:tcPr>
          <w:p w14:paraId="210D3FAC" w14:textId="77777777" w:rsidR="009F53B2"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49% males</w:t>
            </w:r>
          </w:p>
          <w:p w14:paraId="14505F70" w14:textId="77777777" w:rsidR="00F82771"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51% females</w:t>
            </w:r>
          </w:p>
        </w:tc>
      </w:tr>
      <w:tr w:rsidR="009F53B2" w:rsidRPr="00CC1E71" w14:paraId="492541D5" w14:textId="77777777" w:rsidTr="00F82771">
        <w:trPr>
          <w:trHeight w:val="300"/>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CE69" w14:textId="77777777" w:rsidR="009F53B2" w:rsidRPr="00CC1E71" w:rsidRDefault="009F53B2" w:rsidP="009F53B2">
            <w:pPr>
              <w:spacing w:after="0"/>
              <w:rPr>
                <w:rFonts w:ascii="Calibri" w:eastAsia="Times New Roman" w:hAnsi="Calibri" w:cs="Times New Roman"/>
                <w:color w:val="000000"/>
              </w:rPr>
            </w:pPr>
            <w:r>
              <w:rPr>
                <w:rFonts w:ascii="Calibri" w:eastAsia="Times New Roman" w:hAnsi="Calibri" w:cs="Times New Roman"/>
                <w:color w:val="000000"/>
              </w:rPr>
              <w:t>Bupropion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7F79319" w14:textId="77777777" w:rsidR="009F53B2" w:rsidRPr="00CC1E71"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14,468</w:t>
            </w:r>
          </w:p>
        </w:tc>
        <w:tc>
          <w:tcPr>
            <w:tcW w:w="1701" w:type="dxa"/>
            <w:tcBorders>
              <w:top w:val="single" w:sz="4" w:space="0" w:color="auto"/>
              <w:left w:val="nil"/>
              <w:bottom w:val="single" w:sz="4" w:space="0" w:color="auto"/>
              <w:right w:val="single" w:sz="4" w:space="0" w:color="auto"/>
            </w:tcBorders>
          </w:tcPr>
          <w:p w14:paraId="0FD2F0CA" w14:textId="77777777" w:rsidR="00F82771" w:rsidRDefault="00F82771" w:rsidP="009F53B2">
            <w:pPr>
              <w:spacing w:after="0"/>
              <w:jc w:val="right"/>
              <w:rPr>
                <w:rFonts w:ascii="Calibri" w:eastAsia="Times New Roman" w:hAnsi="Calibri" w:cs="Times New Roman"/>
                <w:color w:val="000000"/>
              </w:rPr>
            </w:pPr>
          </w:p>
          <w:p w14:paraId="2A6C2C88" w14:textId="77777777" w:rsidR="009F53B2"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42 (13.5)</w:t>
            </w:r>
          </w:p>
        </w:tc>
        <w:tc>
          <w:tcPr>
            <w:tcW w:w="1559" w:type="dxa"/>
            <w:tcBorders>
              <w:top w:val="single" w:sz="4" w:space="0" w:color="auto"/>
              <w:left w:val="nil"/>
              <w:bottom w:val="single" w:sz="4" w:space="0" w:color="auto"/>
              <w:right w:val="single" w:sz="4" w:space="0" w:color="auto"/>
            </w:tcBorders>
          </w:tcPr>
          <w:p w14:paraId="12F52B43" w14:textId="77777777" w:rsidR="00F82771"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52% males</w:t>
            </w:r>
          </w:p>
          <w:p w14:paraId="62895240" w14:textId="77777777" w:rsidR="009F53B2"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48% females</w:t>
            </w:r>
          </w:p>
        </w:tc>
      </w:tr>
      <w:tr w:rsidR="00F82771" w:rsidRPr="00CC1E71" w14:paraId="753CEA5E" w14:textId="77777777" w:rsidTr="00F82771">
        <w:trPr>
          <w:trHeight w:val="300"/>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B6764" w14:textId="77777777" w:rsidR="00F82771" w:rsidRPr="00F82771" w:rsidRDefault="00F82771" w:rsidP="009F53B2">
            <w:pPr>
              <w:spacing w:after="0"/>
              <w:rPr>
                <w:rFonts w:ascii="Calibri" w:eastAsia="Times New Roman" w:hAnsi="Calibri" w:cs="Times New Roman"/>
                <w:b/>
                <w:bCs/>
                <w:color w:val="000000"/>
              </w:rPr>
            </w:pPr>
            <w:r w:rsidRPr="00F82771">
              <w:rPr>
                <w:rFonts w:ascii="Calibri" w:eastAsia="Times New Roman" w:hAnsi="Calibri" w:cs="Times New Roman"/>
                <w:b/>
                <w:bCs/>
                <w:color w:val="000000"/>
              </w:rPr>
              <w:t xml:space="preserve">Total </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E9A2718" w14:textId="77777777" w:rsidR="00F82771" w:rsidRPr="00F82771" w:rsidRDefault="00F82771" w:rsidP="009F53B2">
            <w:pPr>
              <w:spacing w:after="0"/>
              <w:jc w:val="right"/>
              <w:rPr>
                <w:rFonts w:ascii="Calibri" w:eastAsia="Times New Roman" w:hAnsi="Calibri" w:cs="Times New Roman"/>
                <w:b/>
                <w:bCs/>
                <w:color w:val="000000"/>
              </w:rPr>
            </w:pPr>
            <w:r w:rsidRPr="00F82771">
              <w:rPr>
                <w:rFonts w:ascii="Calibri" w:eastAsia="Times New Roman" w:hAnsi="Calibri" w:cs="Times New Roman"/>
                <w:b/>
                <w:bCs/>
                <w:color w:val="000000"/>
              </w:rPr>
              <w:t>740,082</w:t>
            </w:r>
          </w:p>
        </w:tc>
        <w:tc>
          <w:tcPr>
            <w:tcW w:w="1701" w:type="dxa"/>
            <w:tcBorders>
              <w:top w:val="single" w:sz="4" w:space="0" w:color="auto"/>
              <w:left w:val="nil"/>
              <w:bottom w:val="single" w:sz="4" w:space="0" w:color="auto"/>
              <w:right w:val="single" w:sz="4" w:space="0" w:color="auto"/>
            </w:tcBorders>
          </w:tcPr>
          <w:p w14:paraId="4ADA8D4C" w14:textId="77777777" w:rsidR="00F82771" w:rsidRPr="00F82771" w:rsidRDefault="00F82771" w:rsidP="009F53B2">
            <w:pPr>
              <w:spacing w:after="0"/>
              <w:jc w:val="right"/>
              <w:rPr>
                <w:rFonts w:ascii="Calibri" w:eastAsia="Times New Roman" w:hAnsi="Calibri" w:cs="Times New Roman"/>
                <w:b/>
                <w:bCs/>
                <w:color w:val="000000"/>
              </w:rPr>
            </w:pPr>
          </w:p>
          <w:p w14:paraId="3D6B84AF" w14:textId="77777777" w:rsidR="00F82771" w:rsidRPr="00F82771" w:rsidRDefault="00F82771" w:rsidP="009F53B2">
            <w:pPr>
              <w:spacing w:after="0"/>
              <w:jc w:val="right"/>
              <w:rPr>
                <w:rFonts w:ascii="Calibri" w:eastAsia="Times New Roman" w:hAnsi="Calibri" w:cs="Times New Roman"/>
                <w:b/>
                <w:bCs/>
                <w:color w:val="000000"/>
              </w:rPr>
            </w:pPr>
            <w:r w:rsidRPr="00F82771">
              <w:rPr>
                <w:rFonts w:ascii="Calibri" w:eastAsia="Times New Roman" w:hAnsi="Calibri" w:cs="Times New Roman"/>
                <w:b/>
                <w:bCs/>
                <w:color w:val="000000"/>
              </w:rPr>
              <w:t>43 (14.6)</w:t>
            </w:r>
          </w:p>
        </w:tc>
        <w:tc>
          <w:tcPr>
            <w:tcW w:w="1559" w:type="dxa"/>
            <w:tcBorders>
              <w:top w:val="single" w:sz="4" w:space="0" w:color="auto"/>
              <w:left w:val="nil"/>
              <w:bottom w:val="single" w:sz="4" w:space="0" w:color="auto"/>
              <w:right w:val="single" w:sz="4" w:space="0" w:color="auto"/>
            </w:tcBorders>
          </w:tcPr>
          <w:p w14:paraId="60CE12E0" w14:textId="77777777" w:rsidR="00F82771" w:rsidRPr="00F82771" w:rsidRDefault="00F82771" w:rsidP="00F82771">
            <w:pPr>
              <w:spacing w:after="0"/>
              <w:rPr>
                <w:rFonts w:ascii="Calibri" w:eastAsia="Times New Roman" w:hAnsi="Calibri" w:cs="Times New Roman"/>
                <w:b/>
                <w:bCs/>
                <w:color w:val="000000"/>
              </w:rPr>
            </w:pPr>
            <w:r w:rsidRPr="00F82771">
              <w:rPr>
                <w:rFonts w:ascii="Calibri" w:eastAsia="Times New Roman" w:hAnsi="Calibri" w:cs="Times New Roman"/>
                <w:b/>
                <w:bCs/>
                <w:color w:val="000000"/>
              </w:rPr>
              <w:t>56% males</w:t>
            </w:r>
          </w:p>
          <w:p w14:paraId="5CB70B64" w14:textId="77777777" w:rsidR="00F82771" w:rsidRPr="00F82771" w:rsidRDefault="00F82771" w:rsidP="00F82771">
            <w:pPr>
              <w:spacing w:after="0"/>
              <w:rPr>
                <w:rFonts w:ascii="Calibri" w:eastAsia="Times New Roman" w:hAnsi="Calibri" w:cs="Times New Roman"/>
                <w:b/>
                <w:bCs/>
                <w:color w:val="000000"/>
              </w:rPr>
            </w:pPr>
            <w:r w:rsidRPr="00F82771">
              <w:rPr>
                <w:rFonts w:ascii="Calibri" w:eastAsia="Times New Roman" w:hAnsi="Calibri" w:cs="Times New Roman"/>
                <w:b/>
                <w:bCs/>
                <w:color w:val="000000"/>
              </w:rPr>
              <w:t>44% females</w:t>
            </w:r>
          </w:p>
        </w:tc>
      </w:tr>
    </w:tbl>
    <w:p w14:paraId="3CF81FB2" w14:textId="77777777" w:rsidR="00292588" w:rsidRDefault="00292588" w:rsidP="00141886">
      <w:pPr>
        <w:rPr>
          <w:rFonts w:cstheme="minorHAnsi"/>
          <w:lang w:val="en-US"/>
        </w:rPr>
      </w:pPr>
    </w:p>
    <w:p w14:paraId="15E4B9C5" w14:textId="416242E9" w:rsidR="008D45FE" w:rsidRDefault="008D45FE" w:rsidP="00141886">
      <w:pPr>
        <w:rPr>
          <w:rFonts w:cstheme="minorHAnsi"/>
          <w:lang w:val="en-US"/>
        </w:rPr>
      </w:pPr>
      <w:r w:rsidRPr="00B839A3">
        <w:rPr>
          <w:rFonts w:cstheme="minorHAnsi"/>
          <w:lang w:val="en-US"/>
        </w:rPr>
        <w:t xml:space="preserve">Kaplan Meier survival analysis was conducted to estimate the duration of the first episode with index </w:t>
      </w:r>
      <w:r>
        <w:rPr>
          <w:rFonts w:cstheme="minorHAnsi"/>
          <w:lang w:val="en-US"/>
        </w:rPr>
        <w:t>medicine for smoking cessation</w:t>
      </w:r>
      <w:r w:rsidRPr="00B839A3">
        <w:rPr>
          <w:rFonts w:cstheme="minorHAnsi"/>
          <w:lang w:val="en-US"/>
        </w:rPr>
        <w:t xml:space="preserve">. The study end point of the first episode was the time </w:t>
      </w:r>
      <w:r>
        <w:rPr>
          <w:rFonts w:cstheme="minorHAnsi"/>
          <w:lang w:val="en-US"/>
        </w:rPr>
        <w:t>to</w:t>
      </w:r>
      <w:r w:rsidRPr="00B839A3">
        <w:rPr>
          <w:rFonts w:cstheme="minorHAnsi"/>
          <w:lang w:val="en-US"/>
        </w:rPr>
        <w:t xml:space="preserve"> cessation</w:t>
      </w:r>
      <w:r w:rsidR="006B454E">
        <w:rPr>
          <w:rFonts w:cstheme="minorHAnsi"/>
          <w:lang w:val="en-US"/>
        </w:rPr>
        <w:t>. Figure 34</w:t>
      </w:r>
      <w:r>
        <w:rPr>
          <w:rFonts w:cstheme="minorHAnsi"/>
          <w:lang w:val="en-US"/>
        </w:rPr>
        <w:t xml:space="preserve"> shows median duration of 42 days</w:t>
      </w:r>
      <w:r w:rsidR="000B6A5D">
        <w:rPr>
          <w:rFonts w:cstheme="minorHAnsi"/>
          <w:lang w:val="en-US"/>
        </w:rPr>
        <w:t xml:space="preserve"> (6 weeks)</w:t>
      </w:r>
      <w:r>
        <w:rPr>
          <w:rFonts w:cstheme="minorHAnsi"/>
          <w:lang w:val="en-US"/>
        </w:rPr>
        <w:t xml:space="preserve"> of the first treatment episode. </w:t>
      </w:r>
      <w:r w:rsidR="006B454E">
        <w:rPr>
          <w:rFonts w:cstheme="minorHAnsi"/>
          <w:lang w:val="en-US"/>
        </w:rPr>
        <w:t>Figure 35</w:t>
      </w:r>
      <w:r w:rsidR="00844C33">
        <w:rPr>
          <w:rFonts w:cstheme="minorHAnsi"/>
          <w:lang w:val="en-US"/>
        </w:rPr>
        <w:t xml:space="preserve"> is stratified by the type of index medicine and shows median duration of 28 days for bupropion and 42 days</w:t>
      </w:r>
      <w:r w:rsidR="000B6A5D">
        <w:rPr>
          <w:rFonts w:cstheme="minorHAnsi"/>
          <w:lang w:val="en-US"/>
        </w:rPr>
        <w:t xml:space="preserve"> (6 weeks) </w:t>
      </w:r>
      <w:r w:rsidR="00844C33">
        <w:rPr>
          <w:rFonts w:cstheme="minorHAnsi"/>
          <w:lang w:val="en-US"/>
        </w:rPr>
        <w:t>for both NRT and varenicline.</w:t>
      </w:r>
    </w:p>
    <w:p w14:paraId="02B786B3" w14:textId="77777777" w:rsidR="008D45FE" w:rsidRDefault="008D45FE" w:rsidP="00141886">
      <w:pPr>
        <w:rPr>
          <w:lang w:eastAsia="en-US"/>
        </w:rPr>
      </w:pPr>
      <w:r>
        <w:rPr>
          <w:noProof/>
        </w:rPr>
        <w:drawing>
          <wp:inline distT="0" distB="0" distL="0" distR="0" wp14:anchorId="36A93C03" wp14:editId="15701602">
            <wp:extent cx="5273674" cy="2771775"/>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rstEp.png"/>
                    <pic:cNvPicPr/>
                  </pic:nvPicPr>
                  <pic:blipFill>
                    <a:blip r:embed="rId46">
                      <a:extLst>
                        <a:ext uri="{28A0092B-C50C-407E-A947-70E740481C1C}">
                          <a14:useLocalDpi xmlns:a14="http://schemas.microsoft.com/office/drawing/2010/main" val="0"/>
                        </a:ext>
                      </a:extLst>
                    </a:blip>
                    <a:stretch>
                      <a:fillRect/>
                    </a:stretch>
                  </pic:blipFill>
                  <pic:spPr>
                    <a:xfrm>
                      <a:off x="0" y="0"/>
                      <a:ext cx="5280924" cy="2775585"/>
                    </a:xfrm>
                    <a:prstGeom prst="rect">
                      <a:avLst/>
                    </a:prstGeom>
                  </pic:spPr>
                </pic:pic>
              </a:graphicData>
            </a:graphic>
          </wp:inline>
        </w:drawing>
      </w:r>
    </w:p>
    <w:p w14:paraId="55B7231E" w14:textId="5EC0D337" w:rsidR="008D45FE" w:rsidRPr="008C3D54" w:rsidRDefault="008D45FE" w:rsidP="008D45FE">
      <w:pPr>
        <w:pStyle w:val="Caption"/>
        <w:rPr>
          <w:rFonts w:cstheme="minorHAnsi"/>
          <w:b w:val="0"/>
          <w:sz w:val="22"/>
          <w:szCs w:val="22"/>
        </w:rPr>
      </w:pPr>
      <w:bookmarkStart w:id="50" w:name="_Toc25146355"/>
      <w:r w:rsidRPr="008C3D54">
        <w:rPr>
          <w:sz w:val="22"/>
          <w:szCs w:val="22"/>
        </w:rPr>
        <w:t xml:space="preserve">Figure </w:t>
      </w:r>
      <w:r w:rsidR="006B454E">
        <w:rPr>
          <w:sz w:val="22"/>
          <w:szCs w:val="22"/>
        </w:rPr>
        <w:t>34</w:t>
      </w:r>
      <w:r w:rsidRPr="008C3D54">
        <w:rPr>
          <w:sz w:val="22"/>
          <w:szCs w:val="22"/>
        </w:rPr>
        <w:t>.</w:t>
      </w:r>
      <w:r w:rsidRPr="008C3D54">
        <w:rPr>
          <w:b w:val="0"/>
          <w:sz w:val="22"/>
          <w:szCs w:val="22"/>
        </w:rPr>
        <w:t xml:space="preserve"> </w:t>
      </w:r>
      <w:r w:rsidRPr="008C3D54">
        <w:rPr>
          <w:rFonts w:cstheme="minorHAnsi"/>
          <w:b w:val="0"/>
          <w:sz w:val="22"/>
          <w:szCs w:val="22"/>
        </w:rPr>
        <w:t xml:space="preserve">Kaplan-Meier estimate for time to treatment discontinuation of the first episode </w:t>
      </w:r>
      <w:r>
        <w:rPr>
          <w:rFonts w:cstheme="minorHAnsi"/>
          <w:b w:val="0"/>
          <w:sz w:val="22"/>
          <w:szCs w:val="22"/>
        </w:rPr>
        <w:t>with any smoking cessation medicine</w:t>
      </w:r>
      <w:r w:rsidRPr="008C3D54">
        <w:rPr>
          <w:rFonts w:cstheme="minorHAnsi"/>
          <w:b w:val="0"/>
          <w:sz w:val="22"/>
          <w:szCs w:val="22"/>
        </w:rPr>
        <w:t>.</w:t>
      </w:r>
      <w:bookmarkEnd w:id="50"/>
    </w:p>
    <w:p w14:paraId="6DCB288A" w14:textId="77777777" w:rsidR="008D45FE" w:rsidRDefault="008D45FE" w:rsidP="00141886">
      <w:pPr>
        <w:rPr>
          <w:lang w:eastAsia="en-US"/>
        </w:rPr>
      </w:pPr>
      <w:r>
        <w:rPr>
          <w:noProof/>
        </w:rPr>
        <w:drawing>
          <wp:inline distT="0" distB="0" distL="0" distR="0" wp14:anchorId="0809192E" wp14:editId="6017B401">
            <wp:extent cx="5274310" cy="3323645"/>
            <wp:effectExtent l="0" t="0" r="2540" b="0"/>
            <wp:docPr id="38" name="Picture 3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rstEp_byDrug.png"/>
                    <pic:cNvPicPr/>
                  </pic:nvPicPr>
                  <pic:blipFill>
                    <a:blip r:embed="rId47">
                      <a:extLst>
                        <a:ext uri="{28A0092B-C50C-407E-A947-70E740481C1C}">
                          <a14:useLocalDpi xmlns:a14="http://schemas.microsoft.com/office/drawing/2010/main" val="0"/>
                        </a:ext>
                      </a:extLst>
                    </a:blip>
                    <a:stretch>
                      <a:fillRect/>
                    </a:stretch>
                  </pic:blipFill>
                  <pic:spPr>
                    <a:xfrm>
                      <a:off x="0" y="0"/>
                      <a:ext cx="5276365" cy="3324940"/>
                    </a:xfrm>
                    <a:prstGeom prst="rect">
                      <a:avLst/>
                    </a:prstGeom>
                  </pic:spPr>
                </pic:pic>
              </a:graphicData>
            </a:graphic>
          </wp:inline>
        </w:drawing>
      </w:r>
    </w:p>
    <w:p w14:paraId="25DF2388" w14:textId="284D0A51" w:rsidR="008D45FE" w:rsidRPr="008C3D54" w:rsidRDefault="008D45FE" w:rsidP="008D45FE">
      <w:pPr>
        <w:pStyle w:val="Caption"/>
        <w:rPr>
          <w:rFonts w:cstheme="minorHAnsi"/>
          <w:b w:val="0"/>
          <w:sz w:val="22"/>
          <w:szCs w:val="22"/>
        </w:rPr>
      </w:pPr>
      <w:r w:rsidRPr="008C3D54">
        <w:rPr>
          <w:sz w:val="22"/>
          <w:szCs w:val="22"/>
        </w:rPr>
        <w:t xml:space="preserve">Figure </w:t>
      </w:r>
      <w:r w:rsidR="006B454E">
        <w:rPr>
          <w:sz w:val="22"/>
          <w:szCs w:val="22"/>
        </w:rPr>
        <w:t>35</w:t>
      </w:r>
      <w:r w:rsidRPr="008C3D54">
        <w:rPr>
          <w:sz w:val="22"/>
          <w:szCs w:val="22"/>
        </w:rPr>
        <w:t>.</w:t>
      </w:r>
      <w:r w:rsidRPr="008C3D54">
        <w:rPr>
          <w:b w:val="0"/>
          <w:sz w:val="22"/>
          <w:szCs w:val="22"/>
        </w:rPr>
        <w:t xml:space="preserve"> </w:t>
      </w:r>
      <w:r w:rsidRPr="008C3D54">
        <w:rPr>
          <w:rFonts w:cstheme="minorHAnsi"/>
          <w:b w:val="0"/>
          <w:sz w:val="22"/>
          <w:szCs w:val="22"/>
        </w:rPr>
        <w:t>Kaplan-Meier estimate for time to treatment discontinuation of the first episode</w:t>
      </w:r>
      <w:r w:rsidR="00844C33">
        <w:rPr>
          <w:rFonts w:cstheme="minorHAnsi"/>
          <w:b w:val="0"/>
          <w:sz w:val="22"/>
          <w:szCs w:val="22"/>
        </w:rPr>
        <w:t>, by type of index</w:t>
      </w:r>
      <w:r>
        <w:rPr>
          <w:rFonts w:cstheme="minorHAnsi"/>
          <w:b w:val="0"/>
          <w:sz w:val="22"/>
          <w:szCs w:val="22"/>
        </w:rPr>
        <w:t xml:space="preserve"> medicine</w:t>
      </w:r>
      <w:r w:rsidRPr="008C3D54">
        <w:rPr>
          <w:rFonts w:cstheme="minorHAnsi"/>
          <w:b w:val="0"/>
          <w:sz w:val="22"/>
          <w:szCs w:val="22"/>
        </w:rPr>
        <w:t>.</w:t>
      </w:r>
    </w:p>
    <w:p w14:paraId="7C62D35F" w14:textId="77777777" w:rsidR="000B6A5D" w:rsidRDefault="000B6A5D">
      <w:pPr>
        <w:spacing w:after="0"/>
        <w:rPr>
          <w:b/>
          <w:bCs/>
          <w:lang w:eastAsia="en-US"/>
        </w:rPr>
      </w:pPr>
    </w:p>
    <w:p w14:paraId="7653E1D6" w14:textId="77777777" w:rsidR="007D2224" w:rsidRPr="009F53B2" w:rsidRDefault="007D2224" w:rsidP="007D2224">
      <w:pPr>
        <w:rPr>
          <w:b/>
          <w:bCs/>
          <w:lang w:eastAsia="en-US"/>
        </w:rPr>
      </w:pPr>
      <w:r w:rsidRPr="009F53B2">
        <w:rPr>
          <w:b/>
          <w:bCs/>
          <w:lang w:eastAsia="en-US"/>
        </w:rPr>
        <w:t xml:space="preserve">Duration of </w:t>
      </w:r>
      <w:r>
        <w:rPr>
          <w:b/>
          <w:bCs/>
          <w:lang w:eastAsia="en-US"/>
        </w:rPr>
        <w:t xml:space="preserve">individual treatment </w:t>
      </w:r>
      <w:r w:rsidRPr="009F53B2">
        <w:rPr>
          <w:b/>
          <w:bCs/>
          <w:lang w:eastAsia="en-US"/>
        </w:rPr>
        <w:t>episode</w:t>
      </w:r>
      <w:r>
        <w:rPr>
          <w:b/>
          <w:bCs/>
          <w:lang w:eastAsia="en-US"/>
        </w:rPr>
        <w:t>s</w:t>
      </w:r>
      <w:r w:rsidRPr="009F53B2">
        <w:rPr>
          <w:b/>
          <w:bCs/>
          <w:lang w:eastAsia="en-US"/>
        </w:rPr>
        <w:t xml:space="preserve"> </w:t>
      </w:r>
      <w:r w:rsidR="003D387E">
        <w:rPr>
          <w:b/>
          <w:bCs/>
          <w:lang w:eastAsia="en-US"/>
        </w:rPr>
        <w:t>from initiation to end of treatment</w:t>
      </w:r>
    </w:p>
    <w:p w14:paraId="0B0BD88A" w14:textId="68F83C7B" w:rsidR="006E71F7" w:rsidRDefault="000B6A5D" w:rsidP="006E71F7">
      <w:r>
        <w:t>The a</w:t>
      </w:r>
      <w:r w:rsidR="007D2224" w:rsidRPr="008C3D54">
        <w:t xml:space="preserve">verage number of </w:t>
      </w:r>
      <w:r w:rsidR="007D2224">
        <w:t>separate episodes (episodes separated by gaps) with PBS subsidi</w:t>
      </w:r>
      <w:r w:rsidR="00171165">
        <w:t>s</w:t>
      </w:r>
      <w:r w:rsidR="007D2224">
        <w:t xml:space="preserve">ed treatment per person from initiation to end of last treatment episode </w:t>
      </w:r>
      <w:r w:rsidR="007D2224" w:rsidRPr="008C3D54">
        <w:t xml:space="preserve">was determined. </w:t>
      </w:r>
      <w:r w:rsidR="006E71F7">
        <w:t xml:space="preserve">Overall, 60% of people who initiated smoking cessation therapy between 1 July 2010 and 30 June 2015 had only one attempt (one treatment episode) in the five years of follow-up. They were included in the </w:t>
      </w:r>
      <w:r w:rsidR="00881C8B">
        <w:t>analysis</w:t>
      </w:r>
      <w:r w:rsidR="006E71F7">
        <w:t xml:space="preserve"> below.</w:t>
      </w:r>
    </w:p>
    <w:p w14:paraId="607EDB1B" w14:textId="44A05723" w:rsidR="007D2224" w:rsidRDefault="006E71F7" w:rsidP="007D2224">
      <w:r>
        <w:t xml:space="preserve">People who initiated smoking cessation products had on average 1.7 separate treatment episodes (SD=1.1) with </w:t>
      </w:r>
      <w:r w:rsidR="000B6A5D">
        <w:t xml:space="preserve">a </w:t>
      </w:r>
      <w:r>
        <w:t>median duration of 41 days</w:t>
      </w:r>
      <w:r w:rsidR="000B6A5D">
        <w:t xml:space="preserve"> (6 weeks) </w:t>
      </w:r>
      <w:r w:rsidR="006B454E">
        <w:t>(Figure 36</w:t>
      </w:r>
      <w:r>
        <w:t>).</w:t>
      </w:r>
      <w:r w:rsidR="000B6A5D">
        <w:t xml:space="preserve"> </w:t>
      </w:r>
    </w:p>
    <w:p w14:paraId="7DA884C1" w14:textId="77777777" w:rsidR="007D2224" w:rsidRDefault="003F35D8" w:rsidP="007D2224">
      <w:r>
        <w:rPr>
          <w:noProof/>
        </w:rPr>
        <w:drawing>
          <wp:inline distT="0" distB="0" distL="0" distR="0" wp14:anchorId="08617058" wp14:editId="1D1F9B9D">
            <wp:extent cx="5272780" cy="3638550"/>
            <wp:effectExtent l="0" t="0" r="444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ndEp.png"/>
                    <pic:cNvPicPr/>
                  </pic:nvPicPr>
                  <pic:blipFill>
                    <a:blip r:embed="rId48">
                      <a:extLst>
                        <a:ext uri="{28A0092B-C50C-407E-A947-70E740481C1C}">
                          <a14:useLocalDpi xmlns:a14="http://schemas.microsoft.com/office/drawing/2010/main" val="0"/>
                        </a:ext>
                      </a:extLst>
                    </a:blip>
                    <a:stretch>
                      <a:fillRect/>
                    </a:stretch>
                  </pic:blipFill>
                  <pic:spPr>
                    <a:xfrm>
                      <a:off x="0" y="0"/>
                      <a:ext cx="5292851" cy="3652401"/>
                    </a:xfrm>
                    <a:prstGeom prst="rect">
                      <a:avLst/>
                    </a:prstGeom>
                  </pic:spPr>
                </pic:pic>
              </a:graphicData>
            </a:graphic>
          </wp:inline>
        </w:drawing>
      </w:r>
    </w:p>
    <w:p w14:paraId="44F9DA2C" w14:textId="651FA02A" w:rsidR="003D387E" w:rsidRDefault="003D387E" w:rsidP="003D387E">
      <w:pPr>
        <w:pStyle w:val="Caption"/>
        <w:rPr>
          <w:rFonts w:cstheme="minorHAnsi"/>
          <w:b w:val="0"/>
          <w:sz w:val="22"/>
          <w:szCs w:val="22"/>
        </w:rPr>
      </w:pPr>
      <w:bookmarkStart w:id="51" w:name="_Toc25146357"/>
      <w:r w:rsidRPr="008C3D54">
        <w:rPr>
          <w:sz w:val="22"/>
          <w:szCs w:val="22"/>
        </w:rPr>
        <w:t xml:space="preserve">Figure </w:t>
      </w:r>
      <w:r w:rsidR="006B454E">
        <w:rPr>
          <w:sz w:val="22"/>
          <w:szCs w:val="22"/>
        </w:rPr>
        <w:t>36</w:t>
      </w:r>
      <w:r w:rsidRPr="008C3D54">
        <w:rPr>
          <w:sz w:val="22"/>
          <w:szCs w:val="22"/>
        </w:rPr>
        <w:t xml:space="preserve">. </w:t>
      </w:r>
      <w:r w:rsidRPr="008C3D54">
        <w:rPr>
          <w:rFonts w:cstheme="minorHAnsi"/>
          <w:b w:val="0"/>
          <w:sz w:val="22"/>
          <w:szCs w:val="22"/>
        </w:rPr>
        <w:t xml:space="preserve">Kaplan-Meier estimate of duration of individual </w:t>
      </w:r>
      <w:r>
        <w:rPr>
          <w:rFonts w:cstheme="minorHAnsi"/>
          <w:b w:val="0"/>
          <w:sz w:val="22"/>
          <w:szCs w:val="22"/>
        </w:rPr>
        <w:t>treatment episodes</w:t>
      </w:r>
      <w:r w:rsidRPr="008C3D54">
        <w:rPr>
          <w:rFonts w:cstheme="minorHAnsi"/>
          <w:b w:val="0"/>
          <w:sz w:val="22"/>
          <w:szCs w:val="22"/>
        </w:rPr>
        <w:t xml:space="preserve"> from initiation to end of treatment</w:t>
      </w:r>
      <w:bookmarkEnd w:id="51"/>
      <w:r w:rsidRPr="008C3D54">
        <w:rPr>
          <w:rFonts w:cstheme="minorHAnsi"/>
          <w:b w:val="0"/>
          <w:sz w:val="22"/>
          <w:szCs w:val="22"/>
        </w:rPr>
        <w:t>.</w:t>
      </w:r>
    </w:p>
    <w:p w14:paraId="40339FC7" w14:textId="28F23CD3" w:rsidR="000B6A5D" w:rsidRDefault="000B6A5D" w:rsidP="000B6A5D">
      <w:r>
        <w:t>NRT initiators had on average 1.8 separate episodes (SD=1.2); varenicline initiators had 1.6 (SD=1), and bupropion initiators had 1.7 (SD=1.2). The median duration of separate episodes was 41 days fo</w:t>
      </w:r>
      <w:r w:rsidR="006B454E">
        <w:t>r all three medicines (Figure 37</w:t>
      </w:r>
      <w:r>
        <w:t>).</w:t>
      </w:r>
    </w:p>
    <w:p w14:paraId="17856E50" w14:textId="77777777" w:rsidR="003D387E" w:rsidRDefault="003F35D8" w:rsidP="007D2224">
      <w:r>
        <w:rPr>
          <w:noProof/>
        </w:rPr>
        <w:drawing>
          <wp:inline distT="0" distB="0" distL="0" distR="0" wp14:anchorId="60A19FFD" wp14:editId="33839177">
            <wp:extent cx="5273622" cy="3314700"/>
            <wp:effectExtent l="0" t="0" r="3810" b="0"/>
            <wp:docPr id="42" name="Picture 4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ndEp_byDrug.png"/>
                    <pic:cNvPicPr/>
                  </pic:nvPicPr>
                  <pic:blipFill>
                    <a:blip r:embed="rId49">
                      <a:extLst>
                        <a:ext uri="{28A0092B-C50C-407E-A947-70E740481C1C}">
                          <a14:useLocalDpi xmlns:a14="http://schemas.microsoft.com/office/drawing/2010/main" val="0"/>
                        </a:ext>
                      </a:extLst>
                    </a:blip>
                    <a:stretch>
                      <a:fillRect/>
                    </a:stretch>
                  </pic:blipFill>
                  <pic:spPr>
                    <a:xfrm>
                      <a:off x="0" y="0"/>
                      <a:ext cx="5287135" cy="3323194"/>
                    </a:xfrm>
                    <a:prstGeom prst="rect">
                      <a:avLst/>
                    </a:prstGeom>
                  </pic:spPr>
                </pic:pic>
              </a:graphicData>
            </a:graphic>
          </wp:inline>
        </w:drawing>
      </w:r>
    </w:p>
    <w:p w14:paraId="74E59E71" w14:textId="65D7514E" w:rsidR="003D387E" w:rsidRPr="008C3D54" w:rsidRDefault="003D387E" w:rsidP="003D387E">
      <w:pPr>
        <w:pStyle w:val="Caption"/>
        <w:rPr>
          <w:rFonts w:cstheme="minorHAnsi"/>
          <w:b w:val="0"/>
          <w:sz w:val="22"/>
          <w:szCs w:val="22"/>
        </w:rPr>
      </w:pPr>
      <w:r w:rsidRPr="008C3D54">
        <w:rPr>
          <w:sz w:val="22"/>
          <w:szCs w:val="22"/>
        </w:rPr>
        <w:t xml:space="preserve">Figure </w:t>
      </w:r>
      <w:r w:rsidR="006B454E">
        <w:rPr>
          <w:sz w:val="22"/>
          <w:szCs w:val="22"/>
        </w:rPr>
        <w:t>37</w:t>
      </w:r>
      <w:r w:rsidRPr="008C3D54">
        <w:rPr>
          <w:sz w:val="22"/>
          <w:szCs w:val="22"/>
        </w:rPr>
        <w:t xml:space="preserve">. </w:t>
      </w:r>
      <w:r w:rsidRPr="008C3D54">
        <w:rPr>
          <w:rFonts w:cstheme="minorHAnsi"/>
          <w:b w:val="0"/>
          <w:sz w:val="22"/>
          <w:szCs w:val="22"/>
        </w:rPr>
        <w:t xml:space="preserve">Kaplan-Meier estimate of duration of individual </w:t>
      </w:r>
      <w:r>
        <w:rPr>
          <w:rFonts w:cstheme="minorHAnsi"/>
          <w:b w:val="0"/>
          <w:sz w:val="22"/>
          <w:szCs w:val="22"/>
        </w:rPr>
        <w:t>treatment episodes</w:t>
      </w:r>
      <w:r w:rsidRPr="008C3D54">
        <w:rPr>
          <w:rFonts w:cstheme="minorHAnsi"/>
          <w:b w:val="0"/>
          <w:sz w:val="22"/>
          <w:szCs w:val="22"/>
        </w:rPr>
        <w:t xml:space="preserve"> from initiation to end of treatment</w:t>
      </w:r>
      <w:r>
        <w:rPr>
          <w:rFonts w:cstheme="minorHAnsi"/>
          <w:b w:val="0"/>
          <w:sz w:val="22"/>
          <w:szCs w:val="22"/>
        </w:rPr>
        <w:t>, by type of index medicine</w:t>
      </w:r>
    </w:p>
    <w:p w14:paraId="27FC5BC6" w14:textId="77777777" w:rsidR="003F35D8" w:rsidRPr="009F53B2" w:rsidRDefault="003F35D8" w:rsidP="003F35D8">
      <w:pPr>
        <w:rPr>
          <w:b/>
          <w:bCs/>
          <w:lang w:eastAsia="en-US"/>
        </w:rPr>
      </w:pPr>
      <w:r w:rsidRPr="009F53B2">
        <w:rPr>
          <w:b/>
          <w:bCs/>
          <w:lang w:eastAsia="en-US"/>
        </w:rPr>
        <w:t xml:space="preserve">Duration of </w:t>
      </w:r>
      <w:r>
        <w:rPr>
          <w:b/>
          <w:bCs/>
          <w:lang w:eastAsia="en-US"/>
        </w:rPr>
        <w:t>individual gaps (breaks in therapy)</w:t>
      </w:r>
      <w:r w:rsidRPr="009F53B2">
        <w:rPr>
          <w:b/>
          <w:bCs/>
          <w:lang w:eastAsia="en-US"/>
        </w:rPr>
        <w:t xml:space="preserve"> </w:t>
      </w:r>
      <w:r>
        <w:rPr>
          <w:b/>
          <w:bCs/>
          <w:lang w:eastAsia="en-US"/>
        </w:rPr>
        <w:t>from initiation to end of treatment</w:t>
      </w:r>
    </w:p>
    <w:p w14:paraId="17598530" w14:textId="77777777" w:rsidR="00881C8B" w:rsidRDefault="000B6A5D" w:rsidP="003F35D8">
      <w:r>
        <w:t>The a</w:t>
      </w:r>
      <w:r w:rsidR="003F35D8" w:rsidRPr="008C3D54">
        <w:t xml:space="preserve">verage number of </w:t>
      </w:r>
      <w:r w:rsidR="0052150A">
        <w:t xml:space="preserve">individual </w:t>
      </w:r>
      <w:r w:rsidR="003F35D8">
        <w:t xml:space="preserve">gaps per person from initiation to end of last treatment episode </w:t>
      </w:r>
      <w:r w:rsidR="003F35D8" w:rsidRPr="008C3D54">
        <w:t xml:space="preserve">was determined. </w:t>
      </w:r>
      <w:r w:rsidR="00881C8B" w:rsidRPr="008C3D54">
        <w:t>Only gaps between initiation and end of the last treatment episodes were included as separate entities. P</w:t>
      </w:r>
      <w:r w:rsidR="00881C8B" w:rsidRPr="008C3D54">
        <w:rPr>
          <w:rFonts w:cstheme="minorHAnsi"/>
        </w:rPr>
        <w:t>eople who had no gaps were excluded from the analysis.</w:t>
      </w:r>
    </w:p>
    <w:p w14:paraId="60573623" w14:textId="21591487" w:rsidR="003F35D8" w:rsidRDefault="00450412" w:rsidP="003F35D8">
      <w:r>
        <w:t>Overall, 40</w:t>
      </w:r>
      <w:r w:rsidRPr="008C3D54">
        <w:t xml:space="preserve">% of </w:t>
      </w:r>
      <w:r>
        <w:t xml:space="preserve">people who initiated smoking cessation products between 1 July 2010 and 30 June 2015 </w:t>
      </w:r>
      <w:r w:rsidR="0073492B">
        <w:t xml:space="preserve">had breaks in therapy indicating multiple quit attempts – they had on average 1.7 treatment episodes </w:t>
      </w:r>
      <w:r w:rsidR="003F35D8">
        <w:t xml:space="preserve">with </w:t>
      </w:r>
      <w:r w:rsidR="00EE568C">
        <w:t xml:space="preserve">gap of </w:t>
      </w:r>
      <w:r w:rsidR="00290C68">
        <w:t>15 months (</w:t>
      </w:r>
      <w:r w:rsidR="003F35D8">
        <w:t>461 days</w:t>
      </w:r>
      <w:r w:rsidR="00290C68">
        <w:t>,</w:t>
      </w:r>
      <w:r w:rsidR="003F35D8">
        <w:t xml:space="preserve"> 95% CI 456; 467) </w:t>
      </w:r>
      <w:r w:rsidR="0052150A">
        <w:t>(</w:t>
      </w:r>
      <w:r w:rsidR="006B454E">
        <w:t>Figure 38</w:t>
      </w:r>
      <w:r w:rsidR="0052150A">
        <w:t>)</w:t>
      </w:r>
      <w:r w:rsidR="003F35D8">
        <w:t>.</w:t>
      </w:r>
    </w:p>
    <w:p w14:paraId="0CC4C34C" w14:textId="359D529E" w:rsidR="0052150A" w:rsidRDefault="0052150A" w:rsidP="0052150A">
      <w:r>
        <w:t>NRT initiators had on average 1.</w:t>
      </w:r>
      <w:r w:rsidR="00EE568C">
        <w:t xml:space="preserve">8 treatment episodes with </w:t>
      </w:r>
      <w:r>
        <w:t xml:space="preserve">gaps </w:t>
      </w:r>
      <w:r w:rsidR="00EE568C">
        <w:t xml:space="preserve">of 13 months (377 days, 95% CI 370-377). Varenicline initiators had on average 1.6 treatment episodes with gap of 17 months (496 days, 95% CI 490-510). Bupropion initiators had on average 1.7 treatment episodes with gap of </w:t>
      </w:r>
      <w:r w:rsidR="00A634AC">
        <w:t>14 months (</w:t>
      </w:r>
      <w:r>
        <w:t>433 days</w:t>
      </w:r>
      <w:r w:rsidR="00A634AC">
        <w:t xml:space="preserve">, </w:t>
      </w:r>
      <w:r w:rsidR="006B454E">
        <w:t>95% CI 426-447) (Figure 39</w:t>
      </w:r>
      <w:r>
        <w:t>).</w:t>
      </w:r>
    </w:p>
    <w:p w14:paraId="7384E145" w14:textId="77777777" w:rsidR="007D2224" w:rsidRDefault="0030758A" w:rsidP="00141886">
      <w:pPr>
        <w:rPr>
          <w:lang w:eastAsia="en-US"/>
        </w:rPr>
      </w:pPr>
      <w:r>
        <w:rPr>
          <w:noProof/>
        </w:rPr>
        <w:drawing>
          <wp:inline distT="0" distB="0" distL="0" distR="0" wp14:anchorId="597052ED" wp14:editId="452A3FFD">
            <wp:extent cx="5271604" cy="2533650"/>
            <wp:effectExtent l="0" t="0" r="5715" b="0"/>
            <wp:docPr id="44" name="Picture 4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ndGaps.png"/>
                    <pic:cNvPicPr/>
                  </pic:nvPicPr>
                  <pic:blipFill>
                    <a:blip r:embed="rId50">
                      <a:extLst>
                        <a:ext uri="{28A0092B-C50C-407E-A947-70E740481C1C}">
                          <a14:useLocalDpi xmlns:a14="http://schemas.microsoft.com/office/drawing/2010/main" val="0"/>
                        </a:ext>
                      </a:extLst>
                    </a:blip>
                    <a:stretch>
                      <a:fillRect/>
                    </a:stretch>
                  </pic:blipFill>
                  <pic:spPr>
                    <a:xfrm>
                      <a:off x="0" y="0"/>
                      <a:ext cx="5291039" cy="2542991"/>
                    </a:xfrm>
                    <a:prstGeom prst="rect">
                      <a:avLst/>
                    </a:prstGeom>
                  </pic:spPr>
                </pic:pic>
              </a:graphicData>
            </a:graphic>
          </wp:inline>
        </w:drawing>
      </w:r>
    </w:p>
    <w:p w14:paraId="4BC309C7" w14:textId="1831EF5C" w:rsidR="0030758A" w:rsidRDefault="0030758A" w:rsidP="0030758A">
      <w:pPr>
        <w:pStyle w:val="Caption"/>
        <w:rPr>
          <w:rFonts w:cstheme="minorHAnsi"/>
          <w:b w:val="0"/>
          <w:sz w:val="22"/>
          <w:szCs w:val="22"/>
        </w:rPr>
      </w:pPr>
      <w:r w:rsidRPr="008C3D54">
        <w:rPr>
          <w:sz w:val="22"/>
          <w:szCs w:val="22"/>
        </w:rPr>
        <w:t xml:space="preserve">Figure </w:t>
      </w:r>
      <w:r w:rsidR="006B454E">
        <w:rPr>
          <w:sz w:val="22"/>
          <w:szCs w:val="22"/>
        </w:rPr>
        <w:t>38</w:t>
      </w:r>
      <w:r w:rsidRPr="008C3D54">
        <w:rPr>
          <w:sz w:val="22"/>
          <w:szCs w:val="22"/>
        </w:rPr>
        <w:t xml:space="preserve">. </w:t>
      </w:r>
      <w:r w:rsidRPr="008C3D54">
        <w:rPr>
          <w:rFonts w:cstheme="minorHAnsi"/>
          <w:b w:val="0"/>
          <w:sz w:val="22"/>
          <w:szCs w:val="22"/>
        </w:rPr>
        <w:t>Kaplan-Meier estimate of duration of individual gaps from initiation to end of treatment.</w:t>
      </w:r>
    </w:p>
    <w:p w14:paraId="145AFEEC" w14:textId="77777777" w:rsidR="003F35D8" w:rsidRDefault="00F6689D" w:rsidP="00141886">
      <w:pPr>
        <w:rPr>
          <w:lang w:eastAsia="en-US"/>
        </w:rPr>
      </w:pPr>
      <w:r>
        <w:rPr>
          <w:noProof/>
        </w:rPr>
        <w:drawing>
          <wp:inline distT="0" distB="0" distL="0" distR="0" wp14:anchorId="00E5AA5A" wp14:editId="05C4DF38">
            <wp:extent cx="5273261" cy="2657475"/>
            <wp:effectExtent l="0" t="0" r="3810" b="0"/>
            <wp:docPr id="45" name="Picture 4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ndGaps_byDrug.png"/>
                    <pic:cNvPicPr/>
                  </pic:nvPicPr>
                  <pic:blipFill>
                    <a:blip r:embed="rId51">
                      <a:extLst>
                        <a:ext uri="{28A0092B-C50C-407E-A947-70E740481C1C}">
                          <a14:useLocalDpi xmlns:a14="http://schemas.microsoft.com/office/drawing/2010/main" val="0"/>
                        </a:ext>
                      </a:extLst>
                    </a:blip>
                    <a:stretch>
                      <a:fillRect/>
                    </a:stretch>
                  </pic:blipFill>
                  <pic:spPr>
                    <a:xfrm>
                      <a:off x="0" y="0"/>
                      <a:ext cx="5284990" cy="2663386"/>
                    </a:xfrm>
                    <a:prstGeom prst="rect">
                      <a:avLst/>
                    </a:prstGeom>
                  </pic:spPr>
                </pic:pic>
              </a:graphicData>
            </a:graphic>
          </wp:inline>
        </w:drawing>
      </w:r>
    </w:p>
    <w:p w14:paraId="01F25F3B" w14:textId="27B27F7D" w:rsidR="00F6689D" w:rsidRPr="008C3D54" w:rsidRDefault="00F6689D" w:rsidP="00F6689D">
      <w:pPr>
        <w:pStyle w:val="Caption"/>
        <w:rPr>
          <w:rFonts w:cstheme="minorHAnsi"/>
          <w:b w:val="0"/>
          <w:sz w:val="22"/>
          <w:szCs w:val="22"/>
        </w:rPr>
      </w:pPr>
      <w:r w:rsidRPr="008C3D54">
        <w:rPr>
          <w:sz w:val="22"/>
          <w:szCs w:val="22"/>
        </w:rPr>
        <w:t xml:space="preserve">Figure </w:t>
      </w:r>
      <w:r w:rsidR="006B454E">
        <w:rPr>
          <w:sz w:val="22"/>
          <w:szCs w:val="22"/>
        </w:rPr>
        <w:t>39</w:t>
      </w:r>
      <w:r w:rsidRPr="008C3D54">
        <w:rPr>
          <w:sz w:val="22"/>
          <w:szCs w:val="22"/>
        </w:rPr>
        <w:t xml:space="preserve">. </w:t>
      </w:r>
      <w:r w:rsidRPr="008C3D54">
        <w:rPr>
          <w:rFonts w:cstheme="minorHAnsi"/>
          <w:b w:val="0"/>
          <w:sz w:val="22"/>
          <w:szCs w:val="22"/>
        </w:rPr>
        <w:t>Kaplan-Meier estimate of duration of individual gaps from initiation to end of treatment</w:t>
      </w:r>
      <w:r>
        <w:rPr>
          <w:rFonts w:cstheme="minorHAnsi"/>
          <w:b w:val="0"/>
          <w:sz w:val="22"/>
          <w:szCs w:val="22"/>
        </w:rPr>
        <w:t>, by type of index medicine</w:t>
      </w:r>
    </w:p>
    <w:p w14:paraId="4A3C1673" w14:textId="65F8DADB" w:rsidR="00141886" w:rsidRPr="00847FD3" w:rsidRDefault="00486248" w:rsidP="00847FD3">
      <w:pPr>
        <w:pStyle w:val="Heading3"/>
        <w:rPr>
          <w:rFonts w:asciiTheme="minorHAnsi" w:hAnsiTheme="minorHAnsi" w:cstheme="minorHAnsi"/>
          <w:b/>
          <w:i/>
          <w:iCs/>
          <w:sz w:val="28"/>
          <w:szCs w:val="28"/>
        </w:rPr>
      </w:pPr>
      <w:bookmarkStart w:id="52" w:name="_Toc72840903"/>
      <w:r>
        <w:rPr>
          <w:rFonts w:asciiTheme="minorHAnsi" w:hAnsiTheme="minorHAnsi" w:cstheme="minorHAnsi"/>
          <w:b/>
          <w:i/>
          <w:sz w:val="28"/>
          <w:szCs w:val="28"/>
        </w:rPr>
        <w:t>2.4</w:t>
      </w:r>
      <w:r w:rsidR="008819BE" w:rsidRPr="00847FD3">
        <w:rPr>
          <w:rFonts w:asciiTheme="minorHAnsi" w:hAnsiTheme="minorHAnsi" w:cstheme="minorHAnsi"/>
          <w:b/>
          <w:i/>
          <w:sz w:val="28"/>
          <w:szCs w:val="28"/>
        </w:rPr>
        <w:t xml:space="preserve">.8 </w:t>
      </w:r>
      <w:r w:rsidR="00141886" w:rsidRPr="00847FD3">
        <w:rPr>
          <w:rFonts w:asciiTheme="minorHAnsi" w:hAnsiTheme="minorHAnsi" w:cstheme="minorHAnsi"/>
          <w:b/>
          <w:i/>
          <w:sz w:val="28"/>
          <w:szCs w:val="28"/>
        </w:rPr>
        <w:t>Consistency with PBS restrictions</w:t>
      </w:r>
      <w:bookmarkEnd w:id="52"/>
    </w:p>
    <w:p w14:paraId="6ABB4A30" w14:textId="77777777" w:rsidR="00876F4F" w:rsidRDefault="00876F4F" w:rsidP="00876F4F">
      <w:pPr>
        <w:shd w:val="clear" w:color="auto" w:fill="FFFFFF"/>
        <w:rPr>
          <w:rFonts w:cstheme="minorHAnsi"/>
        </w:rPr>
      </w:pPr>
      <w:r>
        <w:rPr>
          <w:rFonts w:cstheme="minorHAnsi"/>
        </w:rPr>
        <w:t>General and concessional beneficiaries are permitted up to 12 weeks’ supply of PBS subsidised NRT each year [14]. For varenicline, the PBS restrictions allow up to 24 weeks of treatment per 12-month period [15]. Up to 9 weeks of treatment per year is allowed under the PBS for bupropion [16].</w:t>
      </w:r>
    </w:p>
    <w:p w14:paraId="2E19FDC3" w14:textId="459ECE12" w:rsidR="00876F4F" w:rsidRDefault="00876F4F" w:rsidP="00876F4F">
      <w:pPr>
        <w:rPr>
          <w:rFonts w:cstheme="minorHAnsi"/>
        </w:rPr>
      </w:pPr>
      <w:r>
        <w:rPr>
          <w:rFonts w:cstheme="minorHAnsi"/>
        </w:rPr>
        <w:t>To determine compliance with the maximum allowed restriction requirement, the number of people supplied their first ever PBS subsidised NRT, varenicline or bupropion therapy between financial 2014/2015 and 2018/2019 was determined. Then, the proportion from all initiators in each year who received one, two, three or more prescriptions was determined. The weeks of coverage were then based on:</w:t>
      </w:r>
    </w:p>
    <w:p w14:paraId="3628F204" w14:textId="77777777" w:rsidR="00876F4F" w:rsidRPr="00FB72F7" w:rsidRDefault="00876F4F" w:rsidP="00876F4F">
      <w:pPr>
        <w:pStyle w:val="ListParagraph"/>
        <w:numPr>
          <w:ilvl w:val="0"/>
          <w:numId w:val="4"/>
        </w:numPr>
        <w:rPr>
          <w:rFonts w:asciiTheme="minorHAnsi" w:hAnsiTheme="minorHAnsi" w:cstheme="minorHAnsi"/>
        </w:rPr>
      </w:pPr>
      <w:r w:rsidRPr="00FB72F7">
        <w:rPr>
          <w:rFonts w:asciiTheme="minorHAnsi" w:hAnsiTheme="minorHAnsi" w:cstheme="minorHAnsi"/>
        </w:rPr>
        <w:t>For NRT all prescriptions correlate to four weeks coverage, with 2 repeats allowed. There are no specific starter packs for NRT. Consumers may receive up to 12 weeks of therapy under the PBS.</w:t>
      </w:r>
    </w:p>
    <w:p w14:paraId="5BD94490" w14:textId="77777777" w:rsidR="00876F4F" w:rsidRPr="00995DC2" w:rsidRDefault="00876F4F" w:rsidP="00876F4F">
      <w:pPr>
        <w:pStyle w:val="ListParagraph"/>
        <w:numPr>
          <w:ilvl w:val="0"/>
          <w:numId w:val="4"/>
        </w:numPr>
        <w:rPr>
          <w:rFonts w:asciiTheme="minorHAnsi" w:hAnsiTheme="minorHAnsi" w:cstheme="minorHAnsi"/>
        </w:rPr>
      </w:pPr>
      <w:r w:rsidRPr="00995DC2">
        <w:rPr>
          <w:rFonts w:asciiTheme="minorHAnsi" w:hAnsiTheme="minorHAnsi" w:cstheme="minorHAnsi"/>
        </w:rPr>
        <w:t>Varenicline starter pack correlates to 4 weeks of coverage; continuation packs are for 8 weeks, and completion packs are for 4 weeks with 2 repeats allowed. Consumers may receive up to 24 weeks of therapy under the PBS when receiving starter, continuation and completion scripts.</w:t>
      </w:r>
    </w:p>
    <w:p w14:paraId="39284299" w14:textId="77777777" w:rsidR="00876F4F" w:rsidRPr="00995DC2" w:rsidRDefault="00876F4F" w:rsidP="00876F4F">
      <w:pPr>
        <w:pStyle w:val="ListParagraph"/>
        <w:numPr>
          <w:ilvl w:val="0"/>
          <w:numId w:val="4"/>
        </w:numPr>
        <w:rPr>
          <w:rFonts w:asciiTheme="minorHAnsi" w:hAnsiTheme="minorHAnsi" w:cstheme="minorHAnsi"/>
        </w:rPr>
      </w:pPr>
      <w:r w:rsidRPr="00995DC2">
        <w:rPr>
          <w:rFonts w:asciiTheme="minorHAnsi" w:hAnsiTheme="minorHAnsi" w:cstheme="minorHAnsi"/>
        </w:rPr>
        <w:t xml:space="preserve">A starter pack for bupropion lasts for slightly more than 2 weeks, while a completion pack lasts for slightly more than 6 weeks. Consumers may receive up to 9 weeks of therapy under the PBS when receiving the started and completion packs. </w:t>
      </w:r>
    </w:p>
    <w:p w14:paraId="588FABD7" w14:textId="77777777" w:rsidR="00876F4F" w:rsidRPr="00AA718C" w:rsidRDefault="00876F4F" w:rsidP="00876F4F">
      <w:pPr>
        <w:spacing w:before="240"/>
        <w:rPr>
          <w:rFonts w:cstheme="minorHAnsi"/>
          <w:b/>
          <w:bCs/>
        </w:rPr>
      </w:pPr>
      <w:r w:rsidRPr="00AA718C">
        <w:rPr>
          <w:rFonts w:cstheme="minorHAnsi"/>
          <w:b/>
          <w:bCs/>
        </w:rPr>
        <w:t xml:space="preserve">NRT therapy </w:t>
      </w:r>
      <w:r>
        <w:rPr>
          <w:rFonts w:cstheme="minorHAnsi"/>
          <w:b/>
          <w:bCs/>
        </w:rPr>
        <w:t>consistency with restrictions</w:t>
      </w:r>
    </w:p>
    <w:p w14:paraId="1AC04328" w14:textId="59D8C331" w:rsidR="00876F4F" w:rsidRDefault="00876F4F" w:rsidP="00876F4F">
      <w:pPr>
        <w:rPr>
          <w:rFonts w:cstheme="minorHAnsi"/>
        </w:rPr>
      </w:pPr>
      <w:r>
        <w:rPr>
          <w:rFonts w:cstheme="minorHAnsi"/>
        </w:rPr>
        <w:t>Table 9 shows that 60% of all first ever NRT initiators in financial 2018/2019 received only one prescription for NRT which covers 4 weeks of therapy. The compliance with the restriction requirement of a maximum of 12 weeks supply of PBS subsided NRT was 88.4% in 2019.</w:t>
      </w:r>
    </w:p>
    <w:p w14:paraId="5CDD0629" w14:textId="12F5B7D2" w:rsidR="00876F4F" w:rsidRDefault="00876F4F" w:rsidP="00876F4F">
      <w:pPr>
        <w:rPr>
          <w:rFonts w:cstheme="minorHAnsi"/>
        </w:rPr>
      </w:pPr>
      <w:r w:rsidRPr="00995DC2">
        <w:rPr>
          <w:rFonts w:cstheme="minorHAnsi"/>
        </w:rPr>
        <w:t xml:space="preserve">Table 9a shows no significant difference in duration of therapy between Aboriginal and Torres </w:t>
      </w:r>
      <w:r w:rsidR="00E424AB">
        <w:rPr>
          <w:rFonts w:cstheme="minorHAnsi"/>
        </w:rPr>
        <w:t>Strait Islander people and non-I</w:t>
      </w:r>
      <w:r w:rsidRPr="00995DC2">
        <w:rPr>
          <w:rFonts w:cstheme="minorHAnsi"/>
        </w:rPr>
        <w:t xml:space="preserve">ndigenous people who initiated NRT for the first time ever in </w:t>
      </w:r>
      <w:r>
        <w:rPr>
          <w:rFonts w:cstheme="minorHAnsi"/>
        </w:rPr>
        <w:t>financial 2018/</w:t>
      </w:r>
      <w:r w:rsidRPr="00995DC2">
        <w:rPr>
          <w:rFonts w:cstheme="minorHAnsi"/>
        </w:rPr>
        <w:t>2019.</w:t>
      </w:r>
      <w:r>
        <w:rPr>
          <w:rFonts w:cstheme="minorHAnsi"/>
        </w:rPr>
        <w:t xml:space="preserve"> </w:t>
      </w:r>
      <w:r w:rsidR="007A11FF">
        <w:rPr>
          <w:rFonts w:cstheme="minorHAnsi"/>
        </w:rPr>
        <w:t xml:space="preserve">However, this analysis does not include </w:t>
      </w:r>
      <w:r w:rsidR="00F266DF">
        <w:rPr>
          <w:rFonts w:cstheme="minorHAnsi"/>
        </w:rPr>
        <w:t>data on NRT therapies</w:t>
      </w:r>
      <w:r w:rsidR="00F266DF" w:rsidRPr="00F266DF">
        <w:rPr>
          <w:rFonts w:cstheme="minorHAnsi"/>
        </w:rPr>
        <w:t xml:space="preserve"> provided by Aboriginal Health Services that are participating in the Remote Area Aboriginal Health Services (RAAHS) program.</w:t>
      </w:r>
    </w:p>
    <w:p w14:paraId="26422851" w14:textId="77777777" w:rsidR="00876F4F" w:rsidRDefault="00876F4F" w:rsidP="00876F4F">
      <w:pPr>
        <w:spacing w:after="0"/>
        <w:rPr>
          <w:b/>
          <w:bCs/>
        </w:rPr>
      </w:pPr>
      <w:r>
        <w:rPr>
          <w:b/>
          <w:bCs/>
        </w:rPr>
        <w:br w:type="page"/>
      </w:r>
    </w:p>
    <w:p w14:paraId="53116199" w14:textId="7CB422EE" w:rsidR="00876F4F" w:rsidRDefault="00876F4F" w:rsidP="00876F4F">
      <w:r w:rsidRPr="00AE5790">
        <w:rPr>
          <w:b/>
          <w:bCs/>
        </w:rPr>
        <w:t>Table 9.</w:t>
      </w:r>
      <w:r>
        <w:t xml:space="preserve"> Percentage of people receiving their first ever PBS subsidised therapy with NRT by year of initiation, and duration of therapy (people have been excluded if patient category was repatriation or closing the gap)</w:t>
      </w:r>
    </w:p>
    <w:tbl>
      <w:tblPr>
        <w:tblW w:w="6799" w:type="dxa"/>
        <w:tblLook w:val="04A0" w:firstRow="1" w:lastRow="0" w:firstColumn="1" w:lastColumn="0" w:noHBand="0" w:noVBand="1"/>
      </w:tblPr>
      <w:tblGrid>
        <w:gridCol w:w="1838"/>
        <w:gridCol w:w="1194"/>
        <w:gridCol w:w="1194"/>
        <w:gridCol w:w="1194"/>
        <w:gridCol w:w="1194"/>
        <w:gridCol w:w="1194"/>
      </w:tblGrid>
      <w:tr w:rsidR="00876F4F" w:rsidRPr="00AE5790" w14:paraId="4AE0AF29" w14:textId="77777777" w:rsidTr="00F366F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A10EF" w14:textId="77777777" w:rsidR="00876F4F" w:rsidRPr="00AE5790" w:rsidRDefault="00876F4F" w:rsidP="00234E0F">
            <w:pPr>
              <w:spacing w:after="0"/>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Weeks of coverage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C87F4F" w14:textId="77777777" w:rsidR="00876F4F"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2014/</w:t>
            </w:r>
            <w:r w:rsidRPr="00AE5790">
              <w:rPr>
                <w:rFonts w:ascii="Calibri" w:eastAsia="Times New Roman" w:hAnsi="Calibri" w:cs="Times New Roman"/>
                <w:color w:val="000000"/>
                <w:sz w:val="22"/>
                <w:szCs w:val="22"/>
              </w:rPr>
              <w:t>2015</w:t>
            </w:r>
          </w:p>
          <w:p w14:paraId="0AC8D56A" w14:textId="77777777"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5B00392" w14:textId="77777777" w:rsidR="00876F4F"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2015/</w:t>
            </w:r>
            <w:r w:rsidRPr="00AE5790">
              <w:rPr>
                <w:rFonts w:ascii="Calibri" w:eastAsia="Times New Roman" w:hAnsi="Calibri" w:cs="Times New Roman"/>
                <w:color w:val="000000"/>
                <w:sz w:val="22"/>
                <w:szCs w:val="22"/>
              </w:rPr>
              <w:t>2016</w:t>
            </w:r>
          </w:p>
          <w:p w14:paraId="5C85DD7E" w14:textId="77777777"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8F025E" w14:textId="77777777" w:rsidR="00876F4F"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2016/</w:t>
            </w:r>
            <w:r w:rsidRPr="00AE5790">
              <w:rPr>
                <w:rFonts w:ascii="Calibri" w:eastAsia="Times New Roman" w:hAnsi="Calibri" w:cs="Times New Roman"/>
                <w:color w:val="000000"/>
                <w:sz w:val="22"/>
                <w:szCs w:val="22"/>
              </w:rPr>
              <w:t>2017</w:t>
            </w:r>
          </w:p>
          <w:p w14:paraId="075A9097" w14:textId="77777777"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69AC6D" w14:textId="77777777"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2017/</w:t>
            </w:r>
            <w:r w:rsidRPr="00AE5790">
              <w:rPr>
                <w:rFonts w:ascii="Calibri" w:eastAsia="Times New Roman" w:hAnsi="Calibri" w:cs="Times New Roman"/>
                <w:color w:val="000000"/>
                <w:sz w:val="22"/>
                <w:szCs w:val="22"/>
              </w:rPr>
              <w:t>2018</w:t>
            </w:r>
            <w:r>
              <w:rPr>
                <w:rFonts w:ascii="Calibri" w:eastAsia="Times New Roman" w:hAnsi="Calibri" w:cs="Times New Roman"/>
                <w:color w:val="000000"/>
                <w:sz w:val="22"/>
                <w:szCs w:val="22"/>
              </w:rPr>
              <w:b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089495" w14:textId="77777777" w:rsidR="00876F4F"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2018/</w:t>
            </w:r>
            <w:r w:rsidRPr="00AE5790">
              <w:rPr>
                <w:rFonts w:ascii="Calibri" w:eastAsia="Times New Roman" w:hAnsi="Calibri" w:cs="Times New Roman"/>
                <w:color w:val="000000"/>
                <w:sz w:val="22"/>
                <w:szCs w:val="22"/>
              </w:rPr>
              <w:t>2019</w:t>
            </w:r>
          </w:p>
          <w:p w14:paraId="693900CD" w14:textId="77777777"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p>
        </w:tc>
      </w:tr>
      <w:tr w:rsidR="009253C0" w:rsidRPr="00AE5790" w14:paraId="29623D91" w14:textId="77777777" w:rsidTr="00234E0F">
        <w:trPr>
          <w:trHeight w:val="300"/>
        </w:trPr>
        <w:tc>
          <w:tcPr>
            <w:tcW w:w="1838" w:type="dxa"/>
            <w:tcBorders>
              <w:top w:val="nil"/>
              <w:left w:val="single" w:sz="4" w:space="0" w:color="auto"/>
              <w:bottom w:val="single" w:sz="4" w:space="0" w:color="auto"/>
              <w:right w:val="single" w:sz="4" w:space="0" w:color="auto"/>
            </w:tcBorders>
            <w:shd w:val="clear" w:color="000000" w:fill="FFFF00"/>
            <w:noWrap/>
            <w:vAlign w:val="bottom"/>
            <w:hideMark/>
          </w:tcPr>
          <w:p w14:paraId="28AC86F2"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4</w:t>
            </w:r>
          </w:p>
        </w:tc>
        <w:tc>
          <w:tcPr>
            <w:tcW w:w="992" w:type="dxa"/>
            <w:tcBorders>
              <w:top w:val="nil"/>
              <w:left w:val="nil"/>
              <w:bottom w:val="single" w:sz="4" w:space="0" w:color="auto"/>
              <w:right w:val="single" w:sz="4" w:space="0" w:color="auto"/>
            </w:tcBorders>
            <w:shd w:val="clear" w:color="000000" w:fill="FFFF00"/>
            <w:noWrap/>
            <w:vAlign w:val="bottom"/>
            <w:hideMark/>
          </w:tcPr>
          <w:p w14:paraId="7DC1BD97" w14:textId="25AD0B09"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57.</w:t>
            </w:r>
            <w:r>
              <w:rPr>
                <w:rFonts w:ascii="Calibri" w:eastAsia="Times New Roman" w:hAnsi="Calibri" w:cs="Times New Roman"/>
                <w:color w:val="000000"/>
                <w:sz w:val="22"/>
                <w:szCs w:val="22"/>
              </w:rPr>
              <w:t>3</w:t>
            </w:r>
          </w:p>
        </w:tc>
        <w:tc>
          <w:tcPr>
            <w:tcW w:w="993" w:type="dxa"/>
            <w:tcBorders>
              <w:top w:val="nil"/>
              <w:left w:val="nil"/>
              <w:bottom w:val="single" w:sz="4" w:space="0" w:color="auto"/>
              <w:right w:val="single" w:sz="4" w:space="0" w:color="auto"/>
            </w:tcBorders>
            <w:shd w:val="clear" w:color="000000" w:fill="FFFF00"/>
            <w:noWrap/>
            <w:vAlign w:val="bottom"/>
            <w:hideMark/>
          </w:tcPr>
          <w:p w14:paraId="0C93353B" w14:textId="7A8D146F"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5</w:t>
            </w:r>
            <w:r>
              <w:rPr>
                <w:rFonts w:ascii="Calibri" w:eastAsia="Times New Roman" w:hAnsi="Calibri" w:cs="Times New Roman"/>
                <w:color w:val="000000"/>
                <w:sz w:val="22"/>
                <w:szCs w:val="22"/>
              </w:rPr>
              <w:t>7</w:t>
            </w:r>
            <w:r w:rsidRPr="00AE5790">
              <w:rPr>
                <w:rFonts w:ascii="Calibri" w:eastAsia="Times New Roman" w:hAnsi="Calibri" w:cs="Times New Roman"/>
                <w:color w:val="000000"/>
                <w:sz w:val="22"/>
                <w:szCs w:val="22"/>
              </w:rPr>
              <w:t>.8</w:t>
            </w:r>
          </w:p>
        </w:tc>
        <w:tc>
          <w:tcPr>
            <w:tcW w:w="1134" w:type="dxa"/>
            <w:tcBorders>
              <w:top w:val="nil"/>
              <w:left w:val="nil"/>
              <w:bottom w:val="single" w:sz="4" w:space="0" w:color="auto"/>
              <w:right w:val="single" w:sz="4" w:space="0" w:color="auto"/>
            </w:tcBorders>
            <w:shd w:val="clear" w:color="000000" w:fill="FFFF00"/>
            <w:noWrap/>
            <w:vAlign w:val="bottom"/>
            <w:hideMark/>
          </w:tcPr>
          <w:p w14:paraId="066DD727" w14:textId="1155E10F"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59.</w:t>
            </w:r>
            <w:r>
              <w:rPr>
                <w:rFonts w:ascii="Calibri" w:eastAsia="Times New Roman" w:hAnsi="Calibri" w:cs="Times New Roman"/>
                <w:color w:val="000000"/>
                <w:sz w:val="22"/>
                <w:szCs w:val="22"/>
              </w:rPr>
              <w:t>6</w:t>
            </w:r>
          </w:p>
        </w:tc>
        <w:tc>
          <w:tcPr>
            <w:tcW w:w="992" w:type="dxa"/>
            <w:tcBorders>
              <w:top w:val="nil"/>
              <w:left w:val="nil"/>
              <w:bottom w:val="single" w:sz="4" w:space="0" w:color="auto"/>
              <w:right w:val="single" w:sz="4" w:space="0" w:color="auto"/>
            </w:tcBorders>
            <w:shd w:val="clear" w:color="000000" w:fill="FFFF00"/>
            <w:noWrap/>
            <w:vAlign w:val="bottom"/>
            <w:hideMark/>
          </w:tcPr>
          <w:p w14:paraId="3EE3A7EB"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59.4</w:t>
            </w:r>
          </w:p>
        </w:tc>
        <w:tc>
          <w:tcPr>
            <w:tcW w:w="850" w:type="dxa"/>
            <w:tcBorders>
              <w:top w:val="nil"/>
              <w:left w:val="nil"/>
              <w:bottom w:val="single" w:sz="4" w:space="0" w:color="auto"/>
              <w:right w:val="single" w:sz="4" w:space="0" w:color="auto"/>
            </w:tcBorders>
            <w:shd w:val="clear" w:color="000000" w:fill="FFFF00"/>
            <w:noWrap/>
            <w:vAlign w:val="bottom"/>
            <w:hideMark/>
          </w:tcPr>
          <w:p w14:paraId="3EADB76A" w14:textId="26A7C44F"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59.7</w:t>
            </w:r>
          </w:p>
        </w:tc>
      </w:tr>
      <w:tr w:rsidR="009253C0" w:rsidRPr="00AE5790" w14:paraId="51A83F53" w14:textId="77777777" w:rsidTr="00234E0F">
        <w:trPr>
          <w:trHeight w:val="300"/>
        </w:trPr>
        <w:tc>
          <w:tcPr>
            <w:tcW w:w="1838" w:type="dxa"/>
            <w:tcBorders>
              <w:top w:val="nil"/>
              <w:left w:val="single" w:sz="4" w:space="0" w:color="auto"/>
              <w:bottom w:val="single" w:sz="4" w:space="0" w:color="auto"/>
              <w:right w:val="single" w:sz="4" w:space="0" w:color="auto"/>
            </w:tcBorders>
            <w:shd w:val="clear" w:color="000000" w:fill="FFFF00"/>
            <w:noWrap/>
            <w:vAlign w:val="bottom"/>
            <w:hideMark/>
          </w:tcPr>
          <w:p w14:paraId="38E0B845"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8</w:t>
            </w:r>
          </w:p>
        </w:tc>
        <w:tc>
          <w:tcPr>
            <w:tcW w:w="992" w:type="dxa"/>
            <w:tcBorders>
              <w:top w:val="nil"/>
              <w:left w:val="nil"/>
              <w:bottom w:val="single" w:sz="4" w:space="0" w:color="auto"/>
              <w:right w:val="single" w:sz="4" w:space="0" w:color="auto"/>
            </w:tcBorders>
            <w:shd w:val="clear" w:color="000000" w:fill="FFFF00"/>
            <w:noWrap/>
            <w:vAlign w:val="bottom"/>
            <w:hideMark/>
          </w:tcPr>
          <w:p w14:paraId="200A0BAE" w14:textId="0D22C599"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8.3</w:t>
            </w:r>
          </w:p>
        </w:tc>
        <w:tc>
          <w:tcPr>
            <w:tcW w:w="993" w:type="dxa"/>
            <w:tcBorders>
              <w:top w:val="nil"/>
              <w:left w:val="nil"/>
              <w:bottom w:val="single" w:sz="4" w:space="0" w:color="auto"/>
              <w:right w:val="single" w:sz="4" w:space="0" w:color="auto"/>
            </w:tcBorders>
            <w:shd w:val="clear" w:color="000000" w:fill="FFFF00"/>
            <w:noWrap/>
            <w:vAlign w:val="bottom"/>
            <w:hideMark/>
          </w:tcPr>
          <w:p w14:paraId="3C6ED92B" w14:textId="0A032938"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17.</w:t>
            </w:r>
            <w:r>
              <w:rPr>
                <w:rFonts w:ascii="Calibri" w:eastAsia="Times New Roman" w:hAnsi="Calibri" w:cs="Times New Roman"/>
                <w:color w:val="000000"/>
                <w:sz w:val="22"/>
                <w:szCs w:val="22"/>
              </w:rPr>
              <w:t>6</w:t>
            </w:r>
          </w:p>
        </w:tc>
        <w:tc>
          <w:tcPr>
            <w:tcW w:w="1134" w:type="dxa"/>
            <w:tcBorders>
              <w:top w:val="nil"/>
              <w:left w:val="nil"/>
              <w:bottom w:val="single" w:sz="4" w:space="0" w:color="auto"/>
              <w:right w:val="single" w:sz="4" w:space="0" w:color="auto"/>
            </w:tcBorders>
            <w:shd w:val="clear" w:color="000000" w:fill="FFFF00"/>
            <w:noWrap/>
            <w:vAlign w:val="bottom"/>
            <w:hideMark/>
          </w:tcPr>
          <w:p w14:paraId="038E20FD" w14:textId="36510A62"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7</w:t>
            </w:r>
            <w:r w:rsidRPr="00AE5790">
              <w:rPr>
                <w:rFonts w:ascii="Calibri" w:eastAsia="Times New Roman" w:hAnsi="Calibri" w:cs="Times New Roman"/>
                <w:color w:val="000000"/>
                <w:sz w:val="22"/>
                <w:szCs w:val="22"/>
              </w:rPr>
              <w:t>.</w:t>
            </w:r>
            <w:r>
              <w:rPr>
                <w:rFonts w:ascii="Calibri" w:eastAsia="Times New Roman" w:hAnsi="Calibri" w:cs="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00"/>
            <w:noWrap/>
            <w:vAlign w:val="bottom"/>
            <w:hideMark/>
          </w:tcPr>
          <w:p w14:paraId="7E943FA1" w14:textId="5E081E8D"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17</w:t>
            </w:r>
          </w:p>
        </w:tc>
        <w:tc>
          <w:tcPr>
            <w:tcW w:w="850" w:type="dxa"/>
            <w:tcBorders>
              <w:top w:val="nil"/>
              <w:left w:val="nil"/>
              <w:bottom w:val="single" w:sz="4" w:space="0" w:color="auto"/>
              <w:right w:val="single" w:sz="4" w:space="0" w:color="auto"/>
            </w:tcBorders>
            <w:shd w:val="clear" w:color="000000" w:fill="FFFF00"/>
            <w:noWrap/>
            <w:vAlign w:val="bottom"/>
            <w:hideMark/>
          </w:tcPr>
          <w:p w14:paraId="185A0CC2"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17</w:t>
            </w:r>
            <w:r>
              <w:rPr>
                <w:rFonts w:ascii="Calibri" w:eastAsia="Times New Roman" w:hAnsi="Calibri" w:cs="Times New Roman"/>
                <w:color w:val="000000"/>
                <w:sz w:val="22"/>
                <w:szCs w:val="22"/>
              </w:rPr>
              <w:t>.1</w:t>
            </w:r>
          </w:p>
        </w:tc>
      </w:tr>
      <w:tr w:rsidR="009253C0" w:rsidRPr="00AE5790" w14:paraId="6D360C47" w14:textId="77777777" w:rsidTr="00234E0F">
        <w:trPr>
          <w:trHeight w:val="300"/>
        </w:trPr>
        <w:tc>
          <w:tcPr>
            <w:tcW w:w="1838" w:type="dxa"/>
            <w:tcBorders>
              <w:top w:val="nil"/>
              <w:left w:val="single" w:sz="4" w:space="0" w:color="auto"/>
              <w:bottom w:val="single" w:sz="4" w:space="0" w:color="auto"/>
              <w:right w:val="single" w:sz="4" w:space="0" w:color="auto"/>
            </w:tcBorders>
            <w:shd w:val="clear" w:color="000000" w:fill="FFFF00"/>
            <w:noWrap/>
            <w:vAlign w:val="bottom"/>
            <w:hideMark/>
          </w:tcPr>
          <w:p w14:paraId="3E922C9E"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12</w:t>
            </w:r>
          </w:p>
        </w:tc>
        <w:tc>
          <w:tcPr>
            <w:tcW w:w="992" w:type="dxa"/>
            <w:tcBorders>
              <w:top w:val="nil"/>
              <w:left w:val="nil"/>
              <w:bottom w:val="single" w:sz="4" w:space="0" w:color="auto"/>
              <w:right w:val="single" w:sz="4" w:space="0" w:color="auto"/>
            </w:tcBorders>
            <w:shd w:val="clear" w:color="000000" w:fill="FFFF00"/>
            <w:noWrap/>
            <w:vAlign w:val="bottom"/>
            <w:hideMark/>
          </w:tcPr>
          <w:p w14:paraId="08C67E98" w14:textId="7888F5F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6</w:t>
            </w:r>
            <w:r w:rsidRPr="00AE5790">
              <w:rPr>
                <w:rFonts w:ascii="Calibri" w:eastAsia="Times New Roman" w:hAnsi="Calibri" w:cs="Times New Roman"/>
                <w:color w:val="000000"/>
                <w:sz w:val="22"/>
                <w:szCs w:val="22"/>
              </w:rPr>
              <w:t>.</w:t>
            </w:r>
            <w:r>
              <w:rPr>
                <w:rFonts w:ascii="Calibri" w:eastAsia="Times New Roman" w:hAnsi="Calibri" w:cs="Times New Roman"/>
                <w:color w:val="000000"/>
                <w:sz w:val="22"/>
                <w:szCs w:val="22"/>
              </w:rPr>
              <w:t>3</w:t>
            </w:r>
          </w:p>
        </w:tc>
        <w:tc>
          <w:tcPr>
            <w:tcW w:w="993" w:type="dxa"/>
            <w:tcBorders>
              <w:top w:val="nil"/>
              <w:left w:val="nil"/>
              <w:bottom w:val="single" w:sz="4" w:space="0" w:color="auto"/>
              <w:right w:val="single" w:sz="4" w:space="0" w:color="auto"/>
            </w:tcBorders>
            <w:shd w:val="clear" w:color="000000" w:fill="FFFF00"/>
            <w:noWrap/>
            <w:vAlign w:val="bottom"/>
            <w:hideMark/>
          </w:tcPr>
          <w:p w14:paraId="41F354DA" w14:textId="3950F06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4</w:t>
            </w:r>
          </w:p>
        </w:tc>
        <w:tc>
          <w:tcPr>
            <w:tcW w:w="1134" w:type="dxa"/>
            <w:tcBorders>
              <w:top w:val="nil"/>
              <w:left w:val="nil"/>
              <w:bottom w:val="single" w:sz="4" w:space="0" w:color="auto"/>
              <w:right w:val="single" w:sz="4" w:space="0" w:color="auto"/>
            </w:tcBorders>
            <w:shd w:val="clear" w:color="000000" w:fill="FFFF00"/>
            <w:noWrap/>
            <w:vAlign w:val="bottom"/>
            <w:hideMark/>
          </w:tcPr>
          <w:p w14:paraId="2F0AFB8C"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12.4</w:t>
            </w:r>
          </w:p>
        </w:tc>
        <w:tc>
          <w:tcPr>
            <w:tcW w:w="992" w:type="dxa"/>
            <w:tcBorders>
              <w:top w:val="nil"/>
              <w:left w:val="nil"/>
              <w:bottom w:val="single" w:sz="4" w:space="0" w:color="auto"/>
              <w:right w:val="single" w:sz="4" w:space="0" w:color="auto"/>
            </w:tcBorders>
            <w:shd w:val="clear" w:color="000000" w:fill="FFFF00"/>
            <w:noWrap/>
            <w:vAlign w:val="bottom"/>
            <w:hideMark/>
          </w:tcPr>
          <w:p w14:paraId="53610738" w14:textId="71237A01"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2</w:t>
            </w:r>
            <w:r w:rsidRPr="00AE5790">
              <w:rPr>
                <w:rFonts w:ascii="Calibri" w:eastAsia="Times New Roman" w:hAnsi="Calibri" w:cs="Times New Roman"/>
                <w:color w:val="000000"/>
                <w:sz w:val="22"/>
                <w:szCs w:val="22"/>
              </w:rPr>
              <w:t>.</w:t>
            </w:r>
            <w:r>
              <w:rPr>
                <w:rFonts w:ascii="Calibri" w:eastAsia="Times New Roman" w:hAnsi="Calibri" w:cs="Times New Roman"/>
                <w:color w:val="000000"/>
                <w:sz w:val="22"/>
                <w:szCs w:val="22"/>
              </w:rPr>
              <w:t>2</w:t>
            </w:r>
          </w:p>
        </w:tc>
        <w:tc>
          <w:tcPr>
            <w:tcW w:w="850" w:type="dxa"/>
            <w:tcBorders>
              <w:top w:val="nil"/>
              <w:left w:val="nil"/>
              <w:bottom w:val="single" w:sz="4" w:space="0" w:color="auto"/>
              <w:right w:val="single" w:sz="4" w:space="0" w:color="auto"/>
            </w:tcBorders>
            <w:shd w:val="clear" w:color="000000" w:fill="FFFF00"/>
            <w:noWrap/>
            <w:vAlign w:val="bottom"/>
            <w:hideMark/>
          </w:tcPr>
          <w:p w14:paraId="4C5ED59F" w14:textId="790C695A"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11.</w:t>
            </w:r>
            <w:r>
              <w:rPr>
                <w:rFonts w:ascii="Calibri" w:eastAsia="Times New Roman" w:hAnsi="Calibri" w:cs="Times New Roman"/>
                <w:color w:val="000000"/>
                <w:sz w:val="22"/>
                <w:szCs w:val="22"/>
              </w:rPr>
              <w:t>6</w:t>
            </w:r>
          </w:p>
        </w:tc>
      </w:tr>
      <w:tr w:rsidR="009253C0" w:rsidRPr="00AE5790" w14:paraId="26613868" w14:textId="77777777" w:rsidTr="00234E0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81DFA0"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16</w:t>
            </w:r>
          </w:p>
        </w:tc>
        <w:tc>
          <w:tcPr>
            <w:tcW w:w="992" w:type="dxa"/>
            <w:tcBorders>
              <w:top w:val="nil"/>
              <w:left w:val="nil"/>
              <w:bottom w:val="single" w:sz="4" w:space="0" w:color="auto"/>
              <w:right w:val="single" w:sz="4" w:space="0" w:color="auto"/>
            </w:tcBorders>
            <w:shd w:val="clear" w:color="auto" w:fill="auto"/>
            <w:noWrap/>
            <w:vAlign w:val="bottom"/>
            <w:hideMark/>
          </w:tcPr>
          <w:p w14:paraId="0A6CE341" w14:textId="6C329E99"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w:t>
            </w:r>
            <w:r>
              <w:rPr>
                <w:rFonts w:ascii="Calibri" w:eastAsia="Times New Roman" w:hAnsi="Calibri" w:cs="Times New Roman"/>
                <w:color w:val="000000"/>
                <w:sz w:val="22"/>
                <w:szCs w:val="22"/>
              </w:rPr>
              <w:t>3</w:t>
            </w:r>
          </w:p>
        </w:tc>
        <w:tc>
          <w:tcPr>
            <w:tcW w:w="993" w:type="dxa"/>
            <w:tcBorders>
              <w:top w:val="nil"/>
              <w:left w:val="nil"/>
              <w:bottom w:val="single" w:sz="4" w:space="0" w:color="auto"/>
              <w:right w:val="single" w:sz="4" w:space="0" w:color="auto"/>
            </w:tcBorders>
            <w:shd w:val="clear" w:color="auto" w:fill="auto"/>
            <w:noWrap/>
            <w:vAlign w:val="bottom"/>
            <w:hideMark/>
          </w:tcPr>
          <w:p w14:paraId="0E56FE32" w14:textId="6CFB4BFD"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w:t>
            </w:r>
            <w:r>
              <w:rPr>
                <w:rFonts w:ascii="Calibri" w:eastAsia="Times New Roman" w:hAnsi="Calibri" w:cs="Times New Roman"/>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bottom"/>
            <w:hideMark/>
          </w:tcPr>
          <w:p w14:paraId="3A6285E0" w14:textId="7F9F2536"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w:t>
            </w:r>
            <w:r>
              <w:rPr>
                <w:rFonts w:ascii="Calibri" w:eastAsia="Times New Roman" w:hAnsi="Calibri" w:cs="Times New Roman"/>
                <w:color w:val="000000"/>
                <w:sz w:val="22"/>
                <w:szCs w:val="22"/>
              </w:rPr>
              <w:t>9</w:t>
            </w:r>
          </w:p>
        </w:tc>
        <w:tc>
          <w:tcPr>
            <w:tcW w:w="992" w:type="dxa"/>
            <w:tcBorders>
              <w:top w:val="nil"/>
              <w:left w:val="nil"/>
              <w:bottom w:val="single" w:sz="4" w:space="0" w:color="auto"/>
              <w:right w:val="single" w:sz="4" w:space="0" w:color="auto"/>
            </w:tcBorders>
            <w:shd w:val="clear" w:color="auto" w:fill="auto"/>
            <w:noWrap/>
            <w:vAlign w:val="bottom"/>
            <w:hideMark/>
          </w:tcPr>
          <w:p w14:paraId="70B6C7AD"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3.9</w:t>
            </w:r>
          </w:p>
        </w:tc>
        <w:tc>
          <w:tcPr>
            <w:tcW w:w="850" w:type="dxa"/>
            <w:tcBorders>
              <w:top w:val="nil"/>
              <w:left w:val="nil"/>
              <w:bottom w:val="single" w:sz="4" w:space="0" w:color="auto"/>
              <w:right w:val="single" w:sz="4" w:space="0" w:color="auto"/>
            </w:tcBorders>
            <w:shd w:val="clear" w:color="auto" w:fill="auto"/>
            <w:noWrap/>
            <w:vAlign w:val="bottom"/>
            <w:hideMark/>
          </w:tcPr>
          <w:p w14:paraId="2F1727DE" w14:textId="17639602"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w:t>
            </w:r>
            <w:r>
              <w:rPr>
                <w:rFonts w:ascii="Calibri" w:eastAsia="Times New Roman" w:hAnsi="Calibri" w:cs="Times New Roman"/>
                <w:color w:val="000000"/>
                <w:sz w:val="22"/>
                <w:szCs w:val="22"/>
              </w:rPr>
              <w:t>8</w:t>
            </w:r>
          </w:p>
        </w:tc>
      </w:tr>
      <w:tr w:rsidR="009253C0" w:rsidRPr="00AE5790" w14:paraId="75C39CB5" w14:textId="77777777" w:rsidTr="00234E0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BDAF91"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20</w:t>
            </w:r>
          </w:p>
        </w:tc>
        <w:tc>
          <w:tcPr>
            <w:tcW w:w="992" w:type="dxa"/>
            <w:tcBorders>
              <w:top w:val="nil"/>
              <w:left w:val="nil"/>
              <w:bottom w:val="single" w:sz="4" w:space="0" w:color="auto"/>
              <w:right w:val="single" w:sz="4" w:space="0" w:color="auto"/>
            </w:tcBorders>
            <w:shd w:val="clear" w:color="auto" w:fill="auto"/>
            <w:noWrap/>
            <w:vAlign w:val="bottom"/>
            <w:hideMark/>
          </w:tcPr>
          <w:p w14:paraId="5A0539F2" w14:textId="627E9B46"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7</w:t>
            </w:r>
          </w:p>
        </w:tc>
        <w:tc>
          <w:tcPr>
            <w:tcW w:w="993" w:type="dxa"/>
            <w:tcBorders>
              <w:top w:val="nil"/>
              <w:left w:val="nil"/>
              <w:bottom w:val="single" w:sz="4" w:space="0" w:color="auto"/>
              <w:right w:val="single" w:sz="4" w:space="0" w:color="auto"/>
            </w:tcBorders>
            <w:shd w:val="clear" w:color="auto" w:fill="auto"/>
            <w:noWrap/>
            <w:vAlign w:val="bottom"/>
            <w:hideMark/>
          </w:tcPr>
          <w:p w14:paraId="158CE4E3"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bottom"/>
            <w:hideMark/>
          </w:tcPr>
          <w:p w14:paraId="5935A87D" w14:textId="2E17B063"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w:t>
            </w:r>
            <w:r>
              <w:rPr>
                <w:rFonts w:ascii="Calibri" w:eastAsia="Times New Roman" w:hAnsi="Calibri" w:cs="Times New Roman"/>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7A8D9CF2" w14:textId="5DD6854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w:t>
            </w:r>
            <w:r>
              <w:rPr>
                <w:rFonts w:ascii="Calibri" w:eastAsia="Times New Roman" w:hAnsi="Calibri" w:cs="Times New Roman"/>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bottom"/>
            <w:hideMark/>
          </w:tcPr>
          <w:p w14:paraId="25CAF271" w14:textId="09C3E14B"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w:t>
            </w:r>
            <w:r>
              <w:rPr>
                <w:rFonts w:ascii="Calibri" w:eastAsia="Times New Roman" w:hAnsi="Calibri" w:cs="Times New Roman"/>
                <w:color w:val="000000"/>
                <w:sz w:val="22"/>
                <w:szCs w:val="22"/>
              </w:rPr>
              <w:t>4</w:t>
            </w:r>
          </w:p>
        </w:tc>
      </w:tr>
      <w:tr w:rsidR="009253C0" w:rsidRPr="00AE5790" w14:paraId="2A7FA20E" w14:textId="77777777" w:rsidTr="00234E0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5FCCC7"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24</w:t>
            </w:r>
          </w:p>
        </w:tc>
        <w:tc>
          <w:tcPr>
            <w:tcW w:w="992" w:type="dxa"/>
            <w:tcBorders>
              <w:top w:val="nil"/>
              <w:left w:val="nil"/>
              <w:bottom w:val="single" w:sz="4" w:space="0" w:color="auto"/>
              <w:right w:val="single" w:sz="4" w:space="0" w:color="auto"/>
            </w:tcBorders>
            <w:shd w:val="clear" w:color="auto" w:fill="auto"/>
            <w:noWrap/>
            <w:vAlign w:val="bottom"/>
            <w:hideMark/>
          </w:tcPr>
          <w:p w14:paraId="323FE667" w14:textId="3AA6AE52"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5</w:t>
            </w:r>
          </w:p>
        </w:tc>
        <w:tc>
          <w:tcPr>
            <w:tcW w:w="993" w:type="dxa"/>
            <w:tcBorders>
              <w:top w:val="nil"/>
              <w:left w:val="nil"/>
              <w:bottom w:val="single" w:sz="4" w:space="0" w:color="auto"/>
              <w:right w:val="single" w:sz="4" w:space="0" w:color="auto"/>
            </w:tcBorders>
            <w:shd w:val="clear" w:color="auto" w:fill="auto"/>
            <w:noWrap/>
            <w:vAlign w:val="bottom"/>
            <w:hideMark/>
          </w:tcPr>
          <w:p w14:paraId="5876DDD9" w14:textId="277A62D9"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bottom"/>
            <w:hideMark/>
          </w:tcPr>
          <w:p w14:paraId="6329C544" w14:textId="1D2ED741"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w:t>
            </w:r>
          </w:p>
        </w:tc>
        <w:tc>
          <w:tcPr>
            <w:tcW w:w="992" w:type="dxa"/>
            <w:tcBorders>
              <w:top w:val="nil"/>
              <w:left w:val="nil"/>
              <w:bottom w:val="single" w:sz="4" w:space="0" w:color="auto"/>
              <w:right w:val="single" w:sz="4" w:space="0" w:color="auto"/>
            </w:tcBorders>
            <w:shd w:val="clear" w:color="auto" w:fill="auto"/>
            <w:noWrap/>
            <w:vAlign w:val="bottom"/>
            <w:hideMark/>
          </w:tcPr>
          <w:p w14:paraId="5481B012"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bottom"/>
            <w:hideMark/>
          </w:tcPr>
          <w:p w14:paraId="0E4C91BC" w14:textId="2904A9D6"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w:t>
            </w:r>
          </w:p>
        </w:tc>
      </w:tr>
      <w:tr w:rsidR="009253C0" w:rsidRPr="00AE5790" w14:paraId="17DC812E" w14:textId="77777777" w:rsidTr="00234E0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78B4DF"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28</w:t>
            </w:r>
          </w:p>
        </w:tc>
        <w:tc>
          <w:tcPr>
            <w:tcW w:w="992" w:type="dxa"/>
            <w:tcBorders>
              <w:top w:val="nil"/>
              <w:left w:val="nil"/>
              <w:bottom w:val="single" w:sz="4" w:space="0" w:color="auto"/>
              <w:right w:val="single" w:sz="4" w:space="0" w:color="auto"/>
            </w:tcBorders>
            <w:shd w:val="clear" w:color="auto" w:fill="auto"/>
            <w:noWrap/>
            <w:vAlign w:val="bottom"/>
            <w:hideMark/>
          </w:tcPr>
          <w:p w14:paraId="1ABFBB49" w14:textId="32F44CB0"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w:t>
            </w:r>
            <w:r>
              <w:rPr>
                <w:rFonts w:ascii="Calibri" w:eastAsia="Times New Roman" w:hAnsi="Calibri" w:cs="Times New Roman"/>
                <w:color w:val="000000"/>
                <w:sz w:val="22"/>
                <w:szCs w:val="22"/>
              </w:rPr>
              <w:t>4</w:t>
            </w:r>
          </w:p>
        </w:tc>
        <w:tc>
          <w:tcPr>
            <w:tcW w:w="993" w:type="dxa"/>
            <w:tcBorders>
              <w:top w:val="nil"/>
              <w:left w:val="nil"/>
              <w:bottom w:val="single" w:sz="4" w:space="0" w:color="auto"/>
              <w:right w:val="single" w:sz="4" w:space="0" w:color="auto"/>
            </w:tcBorders>
            <w:shd w:val="clear" w:color="auto" w:fill="auto"/>
            <w:noWrap/>
            <w:vAlign w:val="bottom"/>
            <w:hideMark/>
          </w:tcPr>
          <w:p w14:paraId="4880A521"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0.8</w:t>
            </w:r>
          </w:p>
        </w:tc>
        <w:tc>
          <w:tcPr>
            <w:tcW w:w="1134" w:type="dxa"/>
            <w:tcBorders>
              <w:top w:val="nil"/>
              <w:left w:val="nil"/>
              <w:bottom w:val="single" w:sz="4" w:space="0" w:color="auto"/>
              <w:right w:val="single" w:sz="4" w:space="0" w:color="auto"/>
            </w:tcBorders>
            <w:shd w:val="clear" w:color="auto" w:fill="auto"/>
            <w:noWrap/>
            <w:vAlign w:val="bottom"/>
            <w:hideMark/>
          </w:tcPr>
          <w:p w14:paraId="0A4BB304"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0.9</w:t>
            </w:r>
          </w:p>
        </w:tc>
        <w:tc>
          <w:tcPr>
            <w:tcW w:w="992" w:type="dxa"/>
            <w:tcBorders>
              <w:top w:val="nil"/>
              <w:left w:val="nil"/>
              <w:bottom w:val="single" w:sz="4" w:space="0" w:color="auto"/>
              <w:right w:val="single" w:sz="4" w:space="0" w:color="auto"/>
            </w:tcBorders>
            <w:shd w:val="clear" w:color="auto" w:fill="auto"/>
            <w:noWrap/>
            <w:vAlign w:val="bottom"/>
            <w:hideMark/>
          </w:tcPr>
          <w:p w14:paraId="151F53A2"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0.9</w:t>
            </w:r>
          </w:p>
        </w:tc>
        <w:tc>
          <w:tcPr>
            <w:tcW w:w="850" w:type="dxa"/>
            <w:tcBorders>
              <w:top w:val="nil"/>
              <w:left w:val="nil"/>
              <w:bottom w:val="single" w:sz="4" w:space="0" w:color="auto"/>
              <w:right w:val="single" w:sz="4" w:space="0" w:color="auto"/>
            </w:tcBorders>
            <w:shd w:val="clear" w:color="auto" w:fill="auto"/>
            <w:noWrap/>
            <w:vAlign w:val="bottom"/>
            <w:hideMark/>
          </w:tcPr>
          <w:p w14:paraId="6DD823A6"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0.9</w:t>
            </w:r>
          </w:p>
        </w:tc>
      </w:tr>
      <w:tr w:rsidR="009253C0" w:rsidRPr="00AE5790" w14:paraId="49E14544" w14:textId="77777777" w:rsidTr="00234E0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548E84"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32</w:t>
            </w:r>
          </w:p>
        </w:tc>
        <w:tc>
          <w:tcPr>
            <w:tcW w:w="992" w:type="dxa"/>
            <w:tcBorders>
              <w:top w:val="nil"/>
              <w:left w:val="nil"/>
              <w:bottom w:val="single" w:sz="4" w:space="0" w:color="auto"/>
              <w:right w:val="single" w:sz="4" w:space="0" w:color="auto"/>
            </w:tcBorders>
            <w:shd w:val="clear" w:color="auto" w:fill="auto"/>
            <w:noWrap/>
            <w:vAlign w:val="bottom"/>
            <w:hideMark/>
          </w:tcPr>
          <w:p w14:paraId="23EC1866" w14:textId="612EBC86"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w:t>
            </w:r>
            <w:r>
              <w:rPr>
                <w:rFonts w:ascii="Calibri" w:eastAsia="Times New Roman" w:hAnsi="Calibri" w:cs="Times New Roman"/>
                <w:color w:val="000000"/>
                <w:sz w:val="22"/>
                <w:szCs w:val="22"/>
              </w:rPr>
              <w:t>4</w:t>
            </w:r>
          </w:p>
        </w:tc>
        <w:tc>
          <w:tcPr>
            <w:tcW w:w="993" w:type="dxa"/>
            <w:tcBorders>
              <w:top w:val="nil"/>
              <w:left w:val="nil"/>
              <w:bottom w:val="single" w:sz="4" w:space="0" w:color="auto"/>
              <w:right w:val="single" w:sz="4" w:space="0" w:color="auto"/>
            </w:tcBorders>
            <w:shd w:val="clear" w:color="auto" w:fill="auto"/>
            <w:noWrap/>
            <w:vAlign w:val="bottom"/>
            <w:hideMark/>
          </w:tcPr>
          <w:p w14:paraId="3370CE9C"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bottom"/>
            <w:hideMark/>
          </w:tcPr>
          <w:p w14:paraId="09B2F594"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0.5</w:t>
            </w:r>
          </w:p>
        </w:tc>
        <w:tc>
          <w:tcPr>
            <w:tcW w:w="992" w:type="dxa"/>
            <w:tcBorders>
              <w:top w:val="nil"/>
              <w:left w:val="nil"/>
              <w:bottom w:val="single" w:sz="4" w:space="0" w:color="auto"/>
              <w:right w:val="single" w:sz="4" w:space="0" w:color="auto"/>
            </w:tcBorders>
            <w:shd w:val="clear" w:color="auto" w:fill="auto"/>
            <w:noWrap/>
            <w:vAlign w:val="bottom"/>
            <w:hideMark/>
          </w:tcPr>
          <w:p w14:paraId="3183E1C1"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0.6</w:t>
            </w:r>
          </w:p>
        </w:tc>
        <w:tc>
          <w:tcPr>
            <w:tcW w:w="850" w:type="dxa"/>
            <w:tcBorders>
              <w:top w:val="nil"/>
              <w:left w:val="nil"/>
              <w:bottom w:val="single" w:sz="4" w:space="0" w:color="auto"/>
              <w:right w:val="single" w:sz="4" w:space="0" w:color="auto"/>
            </w:tcBorders>
            <w:shd w:val="clear" w:color="auto" w:fill="auto"/>
            <w:noWrap/>
            <w:vAlign w:val="bottom"/>
            <w:hideMark/>
          </w:tcPr>
          <w:p w14:paraId="2B78870A"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0.6</w:t>
            </w:r>
          </w:p>
        </w:tc>
      </w:tr>
      <w:tr w:rsidR="009253C0" w:rsidRPr="00AE5790" w14:paraId="11BACA69" w14:textId="77777777" w:rsidTr="00234E0F">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2B0D7E"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36</w:t>
            </w:r>
          </w:p>
        </w:tc>
        <w:tc>
          <w:tcPr>
            <w:tcW w:w="992" w:type="dxa"/>
            <w:tcBorders>
              <w:top w:val="nil"/>
              <w:left w:val="nil"/>
              <w:bottom w:val="single" w:sz="4" w:space="0" w:color="auto"/>
              <w:right w:val="single" w:sz="4" w:space="0" w:color="auto"/>
            </w:tcBorders>
            <w:shd w:val="clear" w:color="auto" w:fill="auto"/>
            <w:noWrap/>
            <w:vAlign w:val="bottom"/>
            <w:hideMark/>
          </w:tcPr>
          <w:p w14:paraId="28B17D61"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0.4</w:t>
            </w:r>
          </w:p>
        </w:tc>
        <w:tc>
          <w:tcPr>
            <w:tcW w:w="993" w:type="dxa"/>
            <w:tcBorders>
              <w:top w:val="nil"/>
              <w:left w:val="nil"/>
              <w:bottom w:val="single" w:sz="4" w:space="0" w:color="auto"/>
              <w:right w:val="single" w:sz="4" w:space="0" w:color="auto"/>
            </w:tcBorders>
            <w:shd w:val="clear" w:color="auto" w:fill="auto"/>
            <w:noWrap/>
            <w:vAlign w:val="bottom"/>
            <w:hideMark/>
          </w:tcPr>
          <w:p w14:paraId="3C23CD94"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bottom"/>
            <w:hideMark/>
          </w:tcPr>
          <w:p w14:paraId="44926A5A" w14:textId="5903508C"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w:t>
            </w:r>
            <w:r>
              <w:rPr>
                <w:rFonts w:ascii="Calibri" w:eastAsia="Times New Roman" w:hAnsi="Calibri" w:cs="Times New Roman"/>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14:paraId="4006D264" w14:textId="6F35EBF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w:t>
            </w:r>
            <w:r>
              <w:rPr>
                <w:rFonts w:ascii="Calibri" w:eastAsia="Times New Roman" w:hAnsi="Calibri" w:cs="Times New Roman"/>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bottom"/>
            <w:hideMark/>
          </w:tcPr>
          <w:p w14:paraId="60C21C0B"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0.5</w:t>
            </w:r>
          </w:p>
        </w:tc>
      </w:tr>
      <w:tr w:rsidR="00876F4F" w:rsidRPr="00AE5790" w14:paraId="2989527B" w14:textId="77777777" w:rsidTr="00F366F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3CDA6"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25394A"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0139982"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AF4F0F6"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CCD406" w14:textId="02AA4C29"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w:t>
            </w:r>
            <w:r>
              <w:rPr>
                <w:rFonts w:ascii="Calibri" w:eastAsia="Times New Roman" w:hAnsi="Calibri" w:cs="Times New Roman"/>
                <w:color w:val="000000"/>
                <w:sz w:val="22"/>
                <w:szCs w:val="22"/>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EECF09"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0.3</w:t>
            </w:r>
          </w:p>
        </w:tc>
      </w:tr>
      <w:tr w:rsidR="009253C0" w:rsidRPr="00AE5790" w14:paraId="60AD37D9" w14:textId="77777777" w:rsidTr="00234E0F">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142DF3BB" w14:textId="5A3863E3" w:rsidR="00876F4F" w:rsidRPr="004055C2" w:rsidRDefault="00876F4F" w:rsidP="00234E0F">
            <w:pPr>
              <w:spacing w:after="0"/>
              <w:jc w:val="right"/>
              <w:rPr>
                <w:rFonts w:ascii="Calibri" w:eastAsia="Times New Roman" w:hAnsi="Calibri" w:cs="Times New Roman"/>
                <w:color w:val="000000"/>
                <w:sz w:val="22"/>
                <w:szCs w:val="22"/>
                <w:highlight w:val="yellow"/>
              </w:rPr>
            </w:pPr>
            <w:r w:rsidRPr="000D7A5E">
              <w:rPr>
                <w:rFonts w:ascii="Calibri" w:eastAsia="Times New Roman" w:hAnsi="Calibri" w:cs="Times New Roman"/>
                <w:color w:val="000000"/>
                <w:sz w:val="22"/>
                <w:szCs w:val="22"/>
                <w:highlight w:val="yellow"/>
                <w:shd w:val="clear" w:color="auto" w:fill="FFFF00"/>
              </w:rPr>
              <w:t>Percentage of people compliant</w:t>
            </w:r>
            <w:r>
              <w:rPr>
                <w:rFonts w:ascii="Calibri" w:eastAsia="Times New Roman" w:hAnsi="Calibri" w:cs="Times New Roman"/>
                <w:color w:val="000000"/>
                <w:sz w:val="22"/>
                <w:szCs w:val="22"/>
                <w:highlight w:val="yellow"/>
              </w:rPr>
              <w:t xml:space="preserve"> with restrictions</w:t>
            </w:r>
          </w:p>
        </w:tc>
        <w:tc>
          <w:tcPr>
            <w:tcW w:w="992" w:type="dxa"/>
            <w:tcBorders>
              <w:top w:val="single" w:sz="4" w:space="0" w:color="auto"/>
              <w:left w:val="nil"/>
              <w:bottom w:val="single" w:sz="4" w:space="0" w:color="auto"/>
              <w:right w:val="single" w:sz="4" w:space="0" w:color="auto"/>
            </w:tcBorders>
            <w:shd w:val="clear" w:color="auto" w:fill="FFFF00"/>
            <w:noWrap/>
            <w:vAlign w:val="bottom"/>
          </w:tcPr>
          <w:p w14:paraId="41EC0581" w14:textId="2ED57083" w:rsidR="00876F4F" w:rsidRPr="004055C2" w:rsidRDefault="00876F4F" w:rsidP="00234E0F">
            <w:pPr>
              <w:spacing w:after="0"/>
              <w:jc w:val="right"/>
              <w:rPr>
                <w:rFonts w:ascii="Calibri" w:eastAsia="Times New Roman" w:hAnsi="Calibri" w:cs="Times New Roman"/>
                <w:color w:val="000000"/>
                <w:sz w:val="22"/>
                <w:szCs w:val="22"/>
                <w:highlight w:val="yellow"/>
              </w:rPr>
            </w:pPr>
            <w:r w:rsidRPr="004055C2">
              <w:rPr>
                <w:rFonts w:ascii="Calibri" w:hAnsi="Calibri"/>
                <w:color w:val="000000"/>
                <w:sz w:val="22"/>
                <w:szCs w:val="22"/>
                <w:highlight w:val="yellow"/>
              </w:rPr>
              <w:t>9</w:t>
            </w:r>
            <w:r>
              <w:rPr>
                <w:rFonts w:ascii="Calibri" w:hAnsi="Calibri"/>
                <w:color w:val="000000"/>
                <w:sz w:val="22"/>
                <w:szCs w:val="22"/>
                <w:highlight w:val="yellow"/>
              </w:rPr>
              <w:t>1.9</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169C0506" w14:textId="4D4A23C9"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89.4</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7A7984E1" w14:textId="304BB9D3"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89.2</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22EB9371" w14:textId="6424AB64"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88.6</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2841883" w14:textId="6DD01010"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88.4</w:t>
            </w:r>
          </w:p>
        </w:tc>
      </w:tr>
    </w:tbl>
    <w:p w14:paraId="70446D00" w14:textId="77777777" w:rsidR="00876F4F" w:rsidRPr="00601DF7" w:rsidRDefault="00876F4F" w:rsidP="00876F4F">
      <w:pPr>
        <w:rPr>
          <w:i/>
          <w:iCs/>
        </w:rPr>
      </w:pPr>
      <w:r w:rsidRPr="00601DF7">
        <w:rPr>
          <w:i/>
          <w:iCs/>
        </w:rPr>
        <w:t>Note: all item codes for NRT under PBS are with duration of 4 weeks, 2 repeats are allowed for max treatment of 12 weeks; no specific PBS items are designated as starter packs.</w:t>
      </w:r>
    </w:p>
    <w:p w14:paraId="0C168BCB" w14:textId="457BAB25" w:rsidR="00876F4F" w:rsidRPr="00995DC2" w:rsidRDefault="00876F4F" w:rsidP="00876F4F">
      <w:r w:rsidRPr="00995DC2">
        <w:rPr>
          <w:b/>
          <w:bCs/>
        </w:rPr>
        <w:t>Table 9a</w:t>
      </w:r>
      <w:r w:rsidRPr="00995DC2">
        <w:t xml:space="preserve">. Comparison of therapy between Aboriginal and Torres </w:t>
      </w:r>
      <w:r w:rsidR="00E424AB">
        <w:t>Strait Islander people and non-I</w:t>
      </w:r>
      <w:r w:rsidRPr="00995DC2">
        <w:t xml:space="preserve">ndigenous people who initiated NRT for the first time ever in </w:t>
      </w:r>
      <w:r>
        <w:t>financial 2018/</w:t>
      </w:r>
      <w:r w:rsidRPr="00995DC2">
        <w:t>2019</w:t>
      </w:r>
    </w:p>
    <w:tbl>
      <w:tblPr>
        <w:tblW w:w="6799" w:type="dxa"/>
        <w:tblLook w:val="04A0" w:firstRow="1" w:lastRow="0" w:firstColumn="1" w:lastColumn="0" w:noHBand="0" w:noVBand="1"/>
      </w:tblPr>
      <w:tblGrid>
        <w:gridCol w:w="2263"/>
        <w:gridCol w:w="2127"/>
        <w:gridCol w:w="2409"/>
      </w:tblGrid>
      <w:tr w:rsidR="00876F4F" w:rsidRPr="00995DC2" w14:paraId="1474B71B" w14:textId="77777777" w:rsidTr="00234E0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A8B6" w14:textId="77777777" w:rsidR="00876F4F" w:rsidRPr="00995DC2" w:rsidRDefault="00876F4F" w:rsidP="00234E0F">
            <w:pPr>
              <w:spacing w:after="0"/>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Weeks of coverage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93E3046" w14:textId="3FA8E1D2" w:rsidR="00876F4F" w:rsidRPr="00995DC2" w:rsidRDefault="00E424AB"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Non-I</w:t>
            </w:r>
            <w:r w:rsidR="00876F4F" w:rsidRPr="00995DC2">
              <w:rPr>
                <w:rFonts w:ascii="Calibri" w:eastAsia="Times New Roman" w:hAnsi="Calibri" w:cs="Times New Roman"/>
                <w:color w:val="000000"/>
                <w:sz w:val="22"/>
                <w:szCs w:val="22"/>
              </w:rPr>
              <w:t>ndigenous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21CEC553" w14:textId="77777777" w:rsidR="00876F4F" w:rsidRPr="00995DC2" w:rsidRDefault="00876F4F" w:rsidP="00234E0F">
            <w:pPr>
              <w:spacing w:after="0"/>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Aboriginal and Torres Strait Islander people (%)</w:t>
            </w:r>
          </w:p>
        </w:tc>
      </w:tr>
      <w:tr w:rsidR="00876F4F" w:rsidRPr="00995DC2" w14:paraId="1FA45052" w14:textId="77777777" w:rsidTr="00234E0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CA131E4"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4</w:t>
            </w:r>
          </w:p>
        </w:tc>
        <w:tc>
          <w:tcPr>
            <w:tcW w:w="2127" w:type="dxa"/>
            <w:tcBorders>
              <w:top w:val="nil"/>
              <w:left w:val="nil"/>
              <w:bottom w:val="single" w:sz="4" w:space="0" w:color="auto"/>
              <w:right w:val="single" w:sz="4" w:space="0" w:color="auto"/>
            </w:tcBorders>
            <w:shd w:val="clear" w:color="auto" w:fill="auto"/>
            <w:noWrap/>
            <w:vAlign w:val="bottom"/>
            <w:hideMark/>
          </w:tcPr>
          <w:p w14:paraId="2F03E2AD" w14:textId="77777777" w:rsidR="00876F4F" w:rsidRPr="00995DC2"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59.7</w:t>
            </w:r>
          </w:p>
        </w:tc>
        <w:tc>
          <w:tcPr>
            <w:tcW w:w="2409" w:type="dxa"/>
            <w:tcBorders>
              <w:top w:val="nil"/>
              <w:left w:val="nil"/>
              <w:bottom w:val="single" w:sz="4" w:space="0" w:color="auto"/>
              <w:right w:val="single" w:sz="4" w:space="0" w:color="auto"/>
            </w:tcBorders>
            <w:shd w:val="clear" w:color="auto" w:fill="auto"/>
            <w:noWrap/>
            <w:vAlign w:val="bottom"/>
            <w:hideMark/>
          </w:tcPr>
          <w:p w14:paraId="431BE170"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6</w:t>
            </w:r>
            <w:r>
              <w:rPr>
                <w:rFonts w:ascii="Calibri" w:eastAsia="Times New Roman" w:hAnsi="Calibri" w:cs="Times New Roman"/>
                <w:color w:val="000000"/>
                <w:sz w:val="22"/>
                <w:szCs w:val="22"/>
              </w:rPr>
              <w:t>1</w:t>
            </w:r>
          </w:p>
        </w:tc>
      </w:tr>
      <w:tr w:rsidR="00876F4F" w:rsidRPr="00995DC2" w14:paraId="32D094D3" w14:textId="77777777" w:rsidTr="00234E0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DAA09F7"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8</w:t>
            </w:r>
          </w:p>
        </w:tc>
        <w:tc>
          <w:tcPr>
            <w:tcW w:w="2127" w:type="dxa"/>
            <w:tcBorders>
              <w:top w:val="nil"/>
              <w:left w:val="nil"/>
              <w:bottom w:val="single" w:sz="4" w:space="0" w:color="auto"/>
              <w:right w:val="single" w:sz="4" w:space="0" w:color="auto"/>
            </w:tcBorders>
            <w:shd w:val="clear" w:color="auto" w:fill="auto"/>
            <w:noWrap/>
            <w:vAlign w:val="bottom"/>
            <w:hideMark/>
          </w:tcPr>
          <w:p w14:paraId="7F4D4110"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17</w:t>
            </w:r>
            <w:r>
              <w:rPr>
                <w:rFonts w:ascii="Calibri" w:eastAsia="Times New Roman" w:hAnsi="Calibri" w:cs="Times New Roman"/>
                <w:color w:val="000000"/>
                <w:sz w:val="22"/>
                <w:szCs w:val="22"/>
              </w:rPr>
              <w:t>.1</w:t>
            </w:r>
          </w:p>
        </w:tc>
        <w:tc>
          <w:tcPr>
            <w:tcW w:w="2409" w:type="dxa"/>
            <w:tcBorders>
              <w:top w:val="nil"/>
              <w:left w:val="nil"/>
              <w:bottom w:val="single" w:sz="4" w:space="0" w:color="auto"/>
              <w:right w:val="single" w:sz="4" w:space="0" w:color="auto"/>
            </w:tcBorders>
            <w:shd w:val="clear" w:color="auto" w:fill="auto"/>
            <w:noWrap/>
            <w:vAlign w:val="bottom"/>
            <w:hideMark/>
          </w:tcPr>
          <w:p w14:paraId="51C5F839" w14:textId="77777777" w:rsidR="00876F4F" w:rsidRPr="00995DC2"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18.7</w:t>
            </w:r>
          </w:p>
        </w:tc>
      </w:tr>
      <w:tr w:rsidR="00876F4F" w:rsidRPr="00995DC2" w14:paraId="59B6E48C" w14:textId="77777777" w:rsidTr="00234E0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6EA2EA2"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12</w:t>
            </w:r>
          </w:p>
        </w:tc>
        <w:tc>
          <w:tcPr>
            <w:tcW w:w="2127" w:type="dxa"/>
            <w:tcBorders>
              <w:top w:val="nil"/>
              <w:left w:val="nil"/>
              <w:bottom w:val="single" w:sz="4" w:space="0" w:color="auto"/>
              <w:right w:val="single" w:sz="4" w:space="0" w:color="auto"/>
            </w:tcBorders>
            <w:shd w:val="clear" w:color="auto" w:fill="auto"/>
            <w:noWrap/>
            <w:vAlign w:val="bottom"/>
            <w:hideMark/>
          </w:tcPr>
          <w:p w14:paraId="610BB75E"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11.</w:t>
            </w:r>
            <w:r>
              <w:rPr>
                <w:rFonts w:ascii="Calibri" w:eastAsia="Times New Roman" w:hAnsi="Calibri" w:cs="Times New Roman"/>
                <w:color w:val="000000"/>
                <w:sz w:val="22"/>
                <w:szCs w:val="22"/>
              </w:rPr>
              <w:t>6</w:t>
            </w:r>
          </w:p>
        </w:tc>
        <w:tc>
          <w:tcPr>
            <w:tcW w:w="2409" w:type="dxa"/>
            <w:tcBorders>
              <w:top w:val="nil"/>
              <w:left w:val="nil"/>
              <w:bottom w:val="single" w:sz="4" w:space="0" w:color="auto"/>
              <w:right w:val="single" w:sz="4" w:space="0" w:color="auto"/>
            </w:tcBorders>
            <w:shd w:val="clear" w:color="auto" w:fill="auto"/>
            <w:noWrap/>
            <w:vAlign w:val="bottom"/>
            <w:hideMark/>
          </w:tcPr>
          <w:p w14:paraId="19868C09"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11</w:t>
            </w:r>
            <w:r>
              <w:rPr>
                <w:rFonts w:ascii="Calibri" w:eastAsia="Times New Roman" w:hAnsi="Calibri" w:cs="Times New Roman"/>
                <w:color w:val="000000"/>
                <w:sz w:val="22"/>
                <w:szCs w:val="22"/>
              </w:rPr>
              <w:t>.8</w:t>
            </w:r>
          </w:p>
        </w:tc>
      </w:tr>
      <w:tr w:rsidR="00876F4F" w:rsidRPr="00995DC2" w14:paraId="627E0EF7" w14:textId="77777777" w:rsidTr="00234E0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86AC04D"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16</w:t>
            </w:r>
          </w:p>
        </w:tc>
        <w:tc>
          <w:tcPr>
            <w:tcW w:w="2127" w:type="dxa"/>
            <w:tcBorders>
              <w:top w:val="nil"/>
              <w:left w:val="nil"/>
              <w:bottom w:val="single" w:sz="4" w:space="0" w:color="auto"/>
              <w:right w:val="single" w:sz="4" w:space="0" w:color="auto"/>
            </w:tcBorders>
            <w:shd w:val="clear" w:color="auto" w:fill="auto"/>
            <w:noWrap/>
            <w:vAlign w:val="bottom"/>
            <w:hideMark/>
          </w:tcPr>
          <w:p w14:paraId="126023F7"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3.</w:t>
            </w:r>
            <w:r>
              <w:rPr>
                <w:rFonts w:ascii="Calibri" w:eastAsia="Times New Roman" w:hAnsi="Calibri" w:cs="Times New Roman"/>
                <w:color w:val="000000"/>
                <w:sz w:val="22"/>
                <w:szCs w:val="22"/>
              </w:rPr>
              <w:t>8</w:t>
            </w:r>
          </w:p>
        </w:tc>
        <w:tc>
          <w:tcPr>
            <w:tcW w:w="2409" w:type="dxa"/>
            <w:tcBorders>
              <w:top w:val="nil"/>
              <w:left w:val="nil"/>
              <w:bottom w:val="single" w:sz="4" w:space="0" w:color="auto"/>
              <w:right w:val="single" w:sz="4" w:space="0" w:color="auto"/>
            </w:tcBorders>
            <w:shd w:val="clear" w:color="auto" w:fill="auto"/>
            <w:noWrap/>
            <w:vAlign w:val="bottom"/>
            <w:hideMark/>
          </w:tcPr>
          <w:p w14:paraId="0D5073FB"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3.</w:t>
            </w:r>
            <w:r>
              <w:rPr>
                <w:rFonts w:ascii="Calibri" w:eastAsia="Times New Roman" w:hAnsi="Calibri" w:cs="Times New Roman"/>
                <w:color w:val="000000"/>
                <w:sz w:val="22"/>
                <w:szCs w:val="22"/>
              </w:rPr>
              <w:t>5</w:t>
            </w:r>
          </w:p>
        </w:tc>
      </w:tr>
      <w:tr w:rsidR="00876F4F" w:rsidRPr="00995DC2" w14:paraId="658907DD" w14:textId="77777777" w:rsidTr="00234E0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9110F12"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20</w:t>
            </w:r>
          </w:p>
        </w:tc>
        <w:tc>
          <w:tcPr>
            <w:tcW w:w="2127" w:type="dxa"/>
            <w:tcBorders>
              <w:top w:val="nil"/>
              <w:left w:val="nil"/>
              <w:bottom w:val="single" w:sz="4" w:space="0" w:color="auto"/>
              <w:right w:val="single" w:sz="4" w:space="0" w:color="auto"/>
            </w:tcBorders>
            <w:shd w:val="clear" w:color="auto" w:fill="auto"/>
            <w:noWrap/>
            <w:vAlign w:val="bottom"/>
            <w:hideMark/>
          </w:tcPr>
          <w:p w14:paraId="3E7BEA40"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2.</w:t>
            </w:r>
            <w:r>
              <w:rPr>
                <w:rFonts w:ascii="Calibri" w:eastAsia="Times New Roman" w:hAnsi="Calibri" w:cs="Times New Roman"/>
                <w:color w:val="000000"/>
                <w:sz w:val="22"/>
                <w:szCs w:val="22"/>
              </w:rPr>
              <w:t>4</w:t>
            </w:r>
          </w:p>
        </w:tc>
        <w:tc>
          <w:tcPr>
            <w:tcW w:w="2409" w:type="dxa"/>
            <w:tcBorders>
              <w:top w:val="nil"/>
              <w:left w:val="nil"/>
              <w:bottom w:val="single" w:sz="4" w:space="0" w:color="auto"/>
              <w:right w:val="single" w:sz="4" w:space="0" w:color="auto"/>
            </w:tcBorders>
            <w:shd w:val="clear" w:color="auto" w:fill="auto"/>
            <w:noWrap/>
            <w:vAlign w:val="bottom"/>
            <w:hideMark/>
          </w:tcPr>
          <w:p w14:paraId="32D66262"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w:t>
            </w:r>
            <w:r>
              <w:rPr>
                <w:rFonts w:ascii="Calibri" w:eastAsia="Times New Roman" w:hAnsi="Calibri" w:cs="Times New Roman"/>
                <w:color w:val="000000"/>
                <w:sz w:val="22"/>
                <w:szCs w:val="22"/>
              </w:rPr>
              <w:t>6</w:t>
            </w:r>
          </w:p>
        </w:tc>
      </w:tr>
      <w:tr w:rsidR="00876F4F" w:rsidRPr="00995DC2" w14:paraId="69F71D29" w14:textId="77777777" w:rsidTr="00234E0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4FFA750"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24</w:t>
            </w:r>
          </w:p>
        </w:tc>
        <w:tc>
          <w:tcPr>
            <w:tcW w:w="2127" w:type="dxa"/>
            <w:tcBorders>
              <w:top w:val="nil"/>
              <w:left w:val="nil"/>
              <w:bottom w:val="single" w:sz="4" w:space="0" w:color="auto"/>
              <w:right w:val="single" w:sz="4" w:space="0" w:color="auto"/>
            </w:tcBorders>
            <w:shd w:val="clear" w:color="auto" w:fill="auto"/>
            <w:noWrap/>
            <w:vAlign w:val="bottom"/>
            <w:hideMark/>
          </w:tcPr>
          <w:p w14:paraId="6EC295D4" w14:textId="77777777" w:rsidR="00876F4F" w:rsidRPr="00995DC2"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w:t>
            </w:r>
          </w:p>
        </w:tc>
        <w:tc>
          <w:tcPr>
            <w:tcW w:w="2409" w:type="dxa"/>
            <w:tcBorders>
              <w:top w:val="nil"/>
              <w:left w:val="nil"/>
              <w:bottom w:val="single" w:sz="4" w:space="0" w:color="auto"/>
              <w:right w:val="single" w:sz="4" w:space="0" w:color="auto"/>
            </w:tcBorders>
            <w:shd w:val="clear" w:color="auto" w:fill="auto"/>
            <w:noWrap/>
            <w:vAlign w:val="bottom"/>
            <w:hideMark/>
          </w:tcPr>
          <w:p w14:paraId="39FAEA31"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w:t>
            </w:r>
            <w:r>
              <w:rPr>
                <w:rFonts w:ascii="Calibri" w:eastAsia="Times New Roman" w:hAnsi="Calibri" w:cs="Times New Roman"/>
                <w:color w:val="000000"/>
                <w:sz w:val="22"/>
                <w:szCs w:val="22"/>
              </w:rPr>
              <w:t>5</w:t>
            </w:r>
          </w:p>
        </w:tc>
      </w:tr>
      <w:tr w:rsidR="00876F4F" w:rsidRPr="00995DC2" w14:paraId="7AF010E3" w14:textId="77777777" w:rsidTr="00234E0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26930C"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28</w:t>
            </w:r>
          </w:p>
        </w:tc>
        <w:tc>
          <w:tcPr>
            <w:tcW w:w="2127" w:type="dxa"/>
            <w:tcBorders>
              <w:top w:val="nil"/>
              <w:left w:val="nil"/>
              <w:bottom w:val="single" w:sz="4" w:space="0" w:color="auto"/>
              <w:right w:val="single" w:sz="4" w:space="0" w:color="auto"/>
            </w:tcBorders>
            <w:shd w:val="clear" w:color="auto" w:fill="auto"/>
            <w:noWrap/>
            <w:vAlign w:val="bottom"/>
            <w:hideMark/>
          </w:tcPr>
          <w:p w14:paraId="0AE41572"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0.9</w:t>
            </w:r>
          </w:p>
        </w:tc>
        <w:tc>
          <w:tcPr>
            <w:tcW w:w="2409" w:type="dxa"/>
            <w:tcBorders>
              <w:top w:val="nil"/>
              <w:left w:val="nil"/>
              <w:bottom w:val="single" w:sz="4" w:space="0" w:color="auto"/>
              <w:right w:val="single" w:sz="4" w:space="0" w:color="auto"/>
            </w:tcBorders>
            <w:shd w:val="clear" w:color="auto" w:fill="auto"/>
            <w:noWrap/>
            <w:vAlign w:val="bottom"/>
            <w:hideMark/>
          </w:tcPr>
          <w:p w14:paraId="6B1760F9"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0.7</w:t>
            </w:r>
          </w:p>
        </w:tc>
      </w:tr>
      <w:tr w:rsidR="00876F4F" w:rsidRPr="00995DC2" w14:paraId="5ACE0D4F" w14:textId="77777777" w:rsidTr="00234E0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6C4CBF9"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32</w:t>
            </w:r>
          </w:p>
        </w:tc>
        <w:tc>
          <w:tcPr>
            <w:tcW w:w="2127" w:type="dxa"/>
            <w:tcBorders>
              <w:top w:val="nil"/>
              <w:left w:val="nil"/>
              <w:bottom w:val="single" w:sz="4" w:space="0" w:color="auto"/>
              <w:right w:val="single" w:sz="4" w:space="0" w:color="auto"/>
            </w:tcBorders>
            <w:shd w:val="clear" w:color="auto" w:fill="auto"/>
            <w:noWrap/>
            <w:vAlign w:val="bottom"/>
            <w:hideMark/>
          </w:tcPr>
          <w:p w14:paraId="26D204DF"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0.6</w:t>
            </w:r>
          </w:p>
        </w:tc>
        <w:tc>
          <w:tcPr>
            <w:tcW w:w="2409" w:type="dxa"/>
            <w:tcBorders>
              <w:top w:val="nil"/>
              <w:left w:val="nil"/>
              <w:bottom w:val="single" w:sz="4" w:space="0" w:color="auto"/>
              <w:right w:val="single" w:sz="4" w:space="0" w:color="auto"/>
            </w:tcBorders>
            <w:shd w:val="clear" w:color="auto" w:fill="auto"/>
            <w:noWrap/>
            <w:vAlign w:val="bottom"/>
            <w:hideMark/>
          </w:tcPr>
          <w:p w14:paraId="6211AAB0"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0.4</w:t>
            </w:r>
          </w:p>
        </w:tc>
      </w:tr>
      <w:tr w:rsidR="00876F4F" w:rsidRPr="00995DC2" w14:paraId="3630C982" w14:textId="77777777" w:rsidTr="00234E0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DE174B4"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36</w:t>
            </w:r>
          </w:p>
        </w:tc>
        <w:tc>
          <w:tcPr>
            <w:tcW w:w="2127" w:type="dxa"/>
            <w:tcBorders>
              <w:top w:val="nil"/>
              <w:left w:val="nil"/>
              <w:bottom w:val="single" w:sz="4" w:space="0" w:color="auto"/>
              <w:right w:val="single" w:sz="4" w:space="0" w:color="auto"/>
            </w:tcBorders>
            <w:shd w:val="clear" w:color="auto" w:fill="auto"/>
            <w:noWrap/>
            <w:vAlign w:val="bottom"/>
            <w:hideMark/>
          </w:tcPr>
          <w:p w14:paraId="3D46F189"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0.5</w:t>
            </w:r>
          </w:p>
        </w:tc>
        <w:tc>
          <w:tcPr>
            <w:tcW w:w="2409" w:type="dxa"/>
            <w:tcBorders>
              <w:top w:val="nil"/>
              <w:left w:val="nil"/>
              <w:bottom w:val="single" w:sz="4" w:space="0" w:color="auto"/>
              <w:right w:val="single" w:sz="4" w:space="0" w:color="auto"/>
            </w:tcBorders>
            <w:shd w:val="clear" w:color="auto" w:fill="auto"/>
            <w:noWrap/>
            <w:vAlign w:val="bottom"/>
            <w:hideMark/>
          </w:tcPr>
          <w:p w14:paraId="65ACEDEF"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w:t>
            </w:r>
            <w:r>
              <w:rPr>
                <w:rFonts w:ascii="Calibri" w:eastAsia="Times New Roman" w:hAnsi="Calibri" w:cs="Times New Roman"/>
                <w:color w:val="000000"/>
                <w:sz w:val="22"/>
                <w:szCs w:val="22"/>
              </w:rPr>
              <w:t>4</w:t>
            </w:r>
          </w:p>
        </w:tc>
      </w:tr>
      <w:tr w:rsidR="00876F4F" w:rsidRPr="00592686" w14:paraId="3C1F1145" w14:textId="77777777" w:rsidTr="00234E0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8AF5859"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40</w:t>
            </w:r>
          </w:p>
        </w:tc>
        <w:tc>
          <w:tcPr>
            <w:tcW w:w="2127" w:type="dxa"/>
            <w:tcBorders>
              <w:top w:val="nil"/>
              <w:left w:val="nil"/>
              <w:bottom w:val="single" w:sz="4" w:space="0" w:color="auto"/>
              <w:right w:val="single" w:sz="4" w:space="0" w:color="auto"/>
            </w:tcBorders>
            <w:shd w:val="clear" w:color="auto" w:fill="auto"/>
            <w:noWrap/>
            <w:vAlign w:val="bottom"/>
            <w:hideMark/>
          </w:tcPr>
          <w:p w14:paraId="49DCF2D2"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0.3</w:t>
            </w:r>
          </w:p>
        </w:tc>
        <w:tc>
          <w:tcPr>
            <w:tcW w:w="2409" w:type="dxa"/>
            <w:tcBorders>
              <w:top w:val="nil"/>
              <w:left w:val="nil"/>
              <w:bottom w:val="single" w:sz="4" w:space="0" w:color="auto"/>
              <w:right w:val="single" w:sz="4" w:space="0" w:color="auto"/>
            </w:tcBorders>
            <w:shd w:val="clear" w:color="auto" w:fill="auto"/>
            <w:noWrap/>
            <w:vAlign w:val="bottom"/>
            <w:hideMark/>
          </w:tcPr>
          <w:p w14:paraId="3C5C4DBD" w14:textId="77777777" w:rsidR="00876F4F" w:rsidRPr="00592686"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0.3</w:t>
            </w:r>
          </w:p>
        </w:tc>
      </w:tr>
    </w:tbl>
    <w:p w14:paraId="0EE65418" w14:textId="77777777" w:rsidR="00876F4F" w:rsidRDefault="00876F4F" w:rsidP="00876F4F">
      <w:pPr>
        <w:rPr>
          <w:rFonts w:cstheme="minorHAnsi"/>
          <w:b/>
          <w:bCs/>
        </w:rPr>
      </w:pPr>
    </w:p>
    <w:p w14:paraId="3534CFE5" w14:textId="77777777" w:rsidR="00876F4F" w:rsidRDefault="00876F4F" w:rsidP="00876F4F">
      <w:pPr>
        <w:spacing w:after="0"/>
        <w:rPr>
          <w:rFonts w:cstheme="minorHAnsi"/>
          <w:b/>
          <w:bCs/>
        </w:rPr>
      </w:pPr>
      <w:r>
        <w:rPr>
          <w:rFonts w:cstheme="minorHAnsi"/>
          <w:b/>
          <w:bCs/>
        </w:rPr>
        <w:br w:type="page"/>
      </w:r>
    </w:p>
    <w:p w14:paraId="4618605A" w14:textId="77777777" w:rsidR="00876F4F" w:rsidRPr="00AA718C" w:rsidRDefault="00876F4F" w:rsidP="00876F4F">
      <w:pPr>
        <w:rPr>
          <w:rFonts w:cstheme="minorHAnsi"/>
          <w:b/>
          <w:bCs/>
        </w:rPr>
      </w:pPr>
      <w:r w:rsidRPr="00AA718C">
        <w:rPr>
          <w:rFonts w:cstheme="minorHAnsi"/>
          <w:b/>
          <w:bCs/>
        </w:rPr>
        <w:t>Varenicline therapy</w:t>
      </w:r>
      <w:r>
        <w:rPr>
          <w:rFonts w:cstheme="minorHAnsi"/>
          <w:b/>
          <w:bCs/>
        </w:rPr>
        <w:t xml:space="preserve"> consistency with restrictions</w:t>
      </w:r>
    </w:p>
    <w:p w14:paraId="30354692" w14:textId="620535DD" w:rsidR="00876F4F" w:rsidRPr="00995DC2" w:rsidRDefault="00876F4F" w:rsidP="00F366F4">
      <w:pPr>
        <w:spacing w:after="0"/>
      </w:pPr>
      <w:r w:rsidRPr="00995DC2">
        <w:rPr>
          <w:rFonts w:cstheme="minorHAnsi"/>
        </w:rPr>
        <w:t xml:space="preserve">Table 10 shows that the compliance with the restriction requirement of a maximum of 24 weeks supply of PBS subsidised varenicline was 98% in </w:t>
      </w:r>
      <w:r>
        <w:rPr>
          <w:rFonts w:cstheme="minorHAnsi"/>
        </w:rPr>
        <w:t>financial 2018/</w:t>
      </w:r>
      <w:r w:rsidRPr="00995DC2">
        <w:rPr>
          <w:rFonts w:cstheme="minorHAnsi"/>
        </w:rPr>
        <w:t xml:space="preserve">2019. Analysis of the type of packs dispensed to first ever initiators to </w:t>
      </w:r>
      <w:r w:rsidRPr="00995DC2">
        <w:t xml:space="preserve">varenicline in </w:t>
      </w:r>
      <w:r>
        <w:t>2018/</w:t>
      </w:r>
      <w:r w:rsidRPr="00995DC2">
        <w:t>2019 showed that:</w:t>
      </w:r>
    </w:p>
    <w:p w14:paraId="06E11BC5" w14:textId="77777777" w:rsidR="00876F4F" w:rsidRPr="00995DC2" w:rsidRDefault="00876F4F" w:rsidP="00876F4F">
      <w:pPr>
        <w:pStyle w:val="ListParagraph"/>
        <w:numPr>
          <w:ilvl w:val="0"/>
          <w:numId w:val="13"/>
        </w:numPr>
        <w:spacing w:after="200" w:line="276" w:lineRule="auto"/>
        <w:rPr>
          <w:rFonts w:asciiTheme="minorHAnsi" w:hAnsiTheme="minorHAnsi"/>
        </w:rPr>
      </w:pPr>
      <w:r w:rsidRPr="00995DC2">
        <w:rPr>
          <w:rFonts w:asciiTheme="minorHAnsi" w:hAnsiTheme="minorHAnsi"/>
        </w:rPr>
        <w:t xml:space="preserve">56.4% of initiators had only a starter pack (duration of 4 weeks), </w:t>
      </w:r>
    </w:p>
    <w:p w14:paraId="04F3080C" w14:textId="77777777" w:rsidR="00876F4F" w:rsidRPr="00995DC2" w:rsidRDefault="00876F4F" w:rsidP="00876F4F">
      <w:pPr>
        <w:pStyle w:val="ListParagraph"/>
        <w:numPr>
          <w:ilvl w:val="0"/>
          <w:numId w:val="13"/>
        </w:numPr>
        <w:spacing w:after="200" w:line="276" w:lineRule="auto"/>
        <w:rPr>
          <w:rFonts w:asciiTheme="minorHAnsi" w:hAnsiTheme="minorHAnsi"/>
        </w:rPr>
      </w:pPr>
      <w:r w:rsidRPr="00995DC2">
        <w:rPr>
          <w:rFonts w:asciiTheme="minorHAnsi" w:hAnsiTheme="minorHAnsi"/>
        </w:rPr>
        <w:t>2</w:t>
      </w:r>
      <w:r>
        <w:rPr>
          <w:rFonts w:asciiTheme="minorHAnsi" w:hAnsiTheme="minorHAnsi"/>
        </w:rPr>
        <w:t>3</w:t>
      </w:r>
      <w:r w:rsidRPr="00995DC2">
        <w:rPr>
          <w:rFonts w:asciiTheme="minorHAnsi" w:hAnsiTheme="minorHAnsi"/>
        </w:rPr>
        <w:t>.</w:t>
      </w:r>
      <w:r>
        <w:rPr>
          <w:rFonts w:asciiTheme="minorHAnsi" w:hAnsiTheme="minorHAnsi"/>
        </w:rPr>
        <w:t>8</w:t>
      </w:r>
      <w:r w:rsidRPr="00995DC2">
        <w:rPr>
          <w:rFonts w:asciiTheme="minorHAnsi" w:hAnsiTheme="minorHAnsi"/>
        </w:rPr>
        <w:t xml:space="preserve">% had a starter + a continuation pack or a starter + two completion packs (duration of 12 weeks) </w:t>
      </w:r>
    </w:p>
    <w:p w14:paraId="7A885FAA" w14:textId="77777777" w:rsidR="00876F4F" w:rsidRPr="00995DC2" w:rsidRDefault="00876F4F" w:rsidP="00876F4F">
      <w:pPr>
        <w:pStyle w:val="ListParagraph"/>
        <w:numPr>
          <w:ilvl w:val="0"/>
          <w:numId w:val="13"/>
        </w:numPr>
        <w:spacing w:after="200" w:line="276" w:lineRule="auto"/>
        <w:rPr>
          <w:rFonts w:asciiTheme="minorHAnsi" w:hAnsiTheme="minorHAnsi"/>
        </w:rPr>
      </w:pPr>
      <w:r w:rsidRPr="00995DC2">
        <w:rPr>
          <w:rFonts w:asciiTheme="minorHAnsi" w:hAnsiTheme="minorHAnsi"/>
        </w:rPr>
        <w:t>1.4% had a starter + a continuation + three completion packs (duration of 24 weeks)</w:t>
      </w:r>
    </w:p>
    <w:p w14:paraId="5CCAFC82" w14:textId="6F743329" w:rsidR="00876F4F" w:rsidRDefault="00876F4F" w:rsidP="00876F4F">
      <w:r w:rsidRPr="00AE5790">
        <w:rPr>
          <w:b/>
          <w:bCs/>
        </w:rPr>
        <w:t xml:space="preserve">Table </w:t>
      </w:r>
      <w:r>
        <w:rPr>
          <w:b/>
          <w:bCs/>
        </w:rPr>
        <w:t>10</w:t>
      </w:r>
      <w:r w:rsidRPr="00AE5790">
        <w:rPr>
          <w:b/>
          <w:bCs/>
        </w:rPr>
        <w:t>.</w:t>
      </w:r>
      <w:r>
        <w:t xml:space="preserve"> Percentage of people receiving their first ever PBS therapy with varenicline by year of initiation and duration of therapy (people have been excluded if patient category was repatriation or closing the gap)</w:t>
      </w:r>
    </w:p>
    <w:tbl>
      <w:tblPr>
        <w:tblW w:w="6946" w:type="dxa"/>
        <w:tblInd w:w="137" w:type="dxa"/>
        <w:tblLook w:val="04A0" w:firstRow="1" w:lastRow="0" w:firstColumn="1" w:lastColumn="0" w:noHBand="0" w:noVBand="1"/>
      </w:tblPr>
      <w:tblGrid>
        <w:gridCol w:w="1985"/>
        <w:gridCol w:w="1105"/>
        <w:gridCol w:w="1134"/>
        <w:gridCol w:w="1105"/>
        <w:gridCol w:w="1105"/>
        <w:gridCol w:w="1105"/>
      </w:tblGrid>
      <w:tr w:rsidR="00876F4F" w:rsidRPr="00533C05" w14:paraId="72CE86A2" w14:textId="77777777" w:rsidTr="00F366F4">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5FBE3" w14:textId="77777777" w:rsidR="00876F4F" w:rsidRPr="00F366F4" w:rsidRDefault="00876F4F" w:rsidP="00F366F4">
            <w:pPr>
              <w:spacing w:after="0"/>
              <w:ind w:left="321"/>
              <w:rPr>
                <w:color w:val="000000"/>
                <w:sz w:val="20"/>
              </w:rPr>
            </w:pPr>
            <w:r w:rsidRPr="00F366F4">
              <w:rPr>
                <w:color w:val="000000"/>
                <w:sz w:val="20"/>
              </w:rPr>
              <w:t>Weeks of coverage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D2C8E" w14:textId="77777777" w:rsidR="00876F4F" w:rsidRPr="00F366F4" w:rsidRDefault="00876F4F" w:rsidP="00234E0F">
            <w:pPr>
              <w:spacing w:after="0"/>
              <w:jc w:val="right"/>
              <w:rPr>
                <w:color w:val="000000"/>
                <w:sz w:val="20"/>
              </w:rPr>
            </w:pPr>
            <w:r>
              <w:rPr>
                <w:rFonts w:eastAsia="Times New Roman" w:cs="Times New Roman"/>
                <w:color w:val="000000"/>
                <w:sz w:val="20"/>
                <w:szCs w:val="20"/>
              </w:rPr>
              <w:t>2014/</w:t>
            </w:r>
            <w:r w:rsidRPr="00F366F4">
              <w:rPr>
                <w:color w:val="000000"/>
                <w:sz w:val="20"/>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2E515" w14:textId="77777777" w:rsidR="00876F4F" w:rsidRPr="00F366F4" w:rsidRDefault="00876F4F" w:rsidP="00234E0F">
            <w:pPr>
              <w:spacing w:after="0"/>
              <w:jc w:val="right"/>
              <w:rPr>
                <w:color w:val="000000"/>
                <w:sz w:val="20"/>
              </w:rPr>
            </w:pPr>
            <w:r>
              <w:rPr>
                <w:rFonts w:eastAsia="Times New Roman" w:cs="Times New Roman"/>
                <w:color w:val="000000"/>
                <w:sz w:val="20"/>
                <w:szCs w:val="20"/>
              </w:rPr>
              <w:t>2015/</w:t>
            </w:r>
            <w:r w:rsidRPr="00F366F4">
              <w:rPr>
                <w:color w:val="000000"/>
                <w:sz w:val="2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B1187" w14:textId="77777777" w:rsidR="00876F4F" w:rsidRPr="00F366F4" w:rsidRDefault="00876F4F" w:rsidP="00234E0F">
            <w:pPr>
              <w:spacing w:after="0"/>
              <w:jc w:val="right"/>
              <w:rPr>
                <w:color w:val="000000"/>
                <w:sz w:val="20"/>
              </w:rPr>
            </w:pPr>
            <w:r>
              <w:rPr>
                <w:rFonts w:eastAsia="Times New Roman" w:cs="Times New Roman"/>
                <w:color w:val="000000"/>
                <w:sz w:val="20"/>
                <w:szCs w:val="20"/>
              </w:rPr>
              <w:t>2016/</w:t>
            </w:r>
            <w:r w:rsidRPr="00F366F4">
              <w:rPr>
                <w:color w:val="000000"/>
                <w:sz w:val="20"/>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29AF" w14:textId="77777777" w:rsidR="00876F4F" w:rsidRPr="00F366F4" w:rsidRDefault="00876F4F" w:rsidP="00234E0F">
            <w:pPr>
              <w:spacing w:after="0"/>
              <w:jc w:val="right"/>
              <w:rPr>
                <w:color w:val="000000"/>
                <w:sz w:val="20"/>
              </w:rPr>
            </w:pPr>
            <w:r>
              <w:rPr>
                <w:rFonts w:eastAsia="Times New Roman" w:cs="Times New Roman"/>
                <w:color w:val="000000"/>
                <w:sz w:val="20"/>
                <w:szCs w:val="20"/>
              </w:rPr>
              <w:t>2017/</w:t>
            </w:r>
            <w:r w:rsidRPr="00F366F4">
              <w:rPr>
                <w:color w:val="000000"/>
                <w:sz w:val="20"/>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7D68D" w14:textId="77777777" w:rsidR="00876F4F" w:rsidRPr="00F366F4" w:rsidRDefault="00876F4F" w:rsidP="00234E0F">
            <w:pPr>
              <w:spacing w:after="0"/>
              <w:jc w:val="right"/>
              <w:rPr>
                <w:color w:val="000000"/>
                <w:sz w:val="20"/>
              </w:rPr>
            </w:pPr>
            <w:r>
              <w:rPr>
                <w:rFonts w:eastAsia="Times New Roman" w:cs="Times New Roman"/>
                <w:color w:val="000000"/>
                <w:sz w:val="20"/>
                <w:szCs w:val="20"/>
              </w:rPr>
              <w:t>2018/</w:t>
            </w:r>
            <w:r w:rsidRPr="00F366F4">
              <w:rPr>
                <w:color w:val="000000"/>
                <w:sz w:val="20"/>
              </w:rPr>
              <w:t>2019</w:t>
            </w:r>
          </w:p>
        </w:tc>
      </w:tr>
      <w:tr w:rsidR="009253C0" w:rsidRPr="00533C05" w14:paraId="22D2CCE6" w14:textId="77777777" w:rsidTr="00234E0F">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80FE384" w14:textId="77777777" w:rsidR="00876F4F" w:rsidRPr="00F366F4" w:rsidRDefault="00876F4F" w:rsidP="00234E0F">
            <w:pPr>
              <w:spacing w:after="0"/>
              <w:jc w:val="right"/>
              <w:rPr>
                <w:color w:val="000000"/>
                <w:sz w:val="20"/>
              </w:rPr>
            </w:pPr>
            <w:r w:rsidRPr="00F366F4">
              <w:rPr>
                <w:color w:val="000000"/>
                <w:sz w:val="20"/>
              </w:rPr>
              <w:t>4</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4984A19" w14:textId="57DBA56D" w:rsidR="00876F4F" w:rsidRPr="00F366F4" w:rsidRDefault="00876F4F" w:rsidP="00234E0F">
            <w:pPr>
              <w:spacing w:after="0"/>
              <w:jc w:val="right"/>
              <w:rPr>
                <w:color w:val="000000"/>
                <w:sz w:val="20"/>
              </w:rPr>
            </w:pPr>
            <w:r w:rsidRPr="00533C05">
              <w:rPr>
                <w:rFonts w:eastAsia="Times New Roman" w:cs="Times New Roman"/>
                <w:color w:val="000000"/>
                <w:sz w:val="20"/>
                <w:szCs w:val="20"/>
              </w:rPr>
              <w:t>53</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15F6066" w14:textId="2066386A" w:rsidR="00876F4F" w:rsidRPr="00F366F4" w:rsidRDefault="00876F4F" w:rsidP="00234E0F">
            <w:pPr>
              <w:spacing w:after="0"/>
              <w:jc w:val="right"/>
              <w:rPr>
                <w:color w:val="000000"/>
                <w:sz w:val="20"/>
              </w:rPr>
            </w:pPr>
            <w:r w:rsidRPr="00533C05">
              <w:rPr>
                <w:rFonts w:eastAsia="Times New Roman" w:cs="Times New Roman"/>
                <w:color w:val="000000"/>
                <w:sz w:val="20"/>
                <w:szCs w:val="20"/>
              </w:rPr>
              <w:t>53.7</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301EF30" w14:textId="0C8F10FB" w:rsidR="00876F4F" w:rsidRPr="00F366F4" w:rsidRDefault="00876F4F" w:rsidP="00234E0F">
            <w:pPr>
              <w:spacing w:after="0"/>
              <w:jc w:val="right"/>
              <w:rPr>
                <w:color w:val="000000"/>
                <w:sz w:val="20"/>
              </w:rPr>
            </w:pPr>
            <w:r w:rsidRPr="00533C05">
              <w:rPr>
                <w:rFonts w:eastAsia="Times New Roman" w:cs="Times New Roman"/>
                <w:color w:val="000000"/>
                <w:sz w:val="20"/>
                <w:szCs w:val="20"/>
              </w:rPr>
              <w:t>5</w:t>
            </w:r>
            <w:r>
              <w:rPr>
                <w:rFonts w:eastAsia="Times New Roman" w:cs="Times New Roman"/>
                <w:color w:val="000000"/>
                <w:sz w:val="20"/>
                <w:szCs w:val="20"/>
              </w:rPr>
              <w:t>3</w:t>
            </w:r>
            <w:r w:rsidRPr="00F366F4">
              <w:rPr>
                <w:color w:val="000000"/>
                <w:sz w:val="20"/>
              </w:rPr>
              <w:t>.9</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C41DEE0" w14:textId="678B11D2" w:rsidR="00876F4F" w:rsidRPr="00F366F4" w:rsidRDefault="00876F4F" w:rsidP="00234E0F">
            <w:pPr>
              <w:spacing w:after="0"/>
              <w:jc w:val="right"/>
              <w:rPr>
                <w:color w:val="000000"/>
                <w:sz w:val="20"/>
              </w:rPr>
            </w:pPr>
            <w:r w:rsidRPr="00533C05">
              <w:rPr>
                <w:rFonts w:eastAsia="Times New Roman" w:cs="Times New Roman"/>
                <w:color w:val="000000"/>
                <w:sz w:val="20"/>
                <w:szCs w:val="20"/>
              </w:rPr>
              <w:t>54.</w:t>
            </w:r>
            <w:r>
              <w:rPr>
                <w:rFonts w:eastAsia="Times New Roman" w:cs="Times New Roman"/>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101A6E" w14:textId="5D379EAC" w:rsidR="00876F4F" w:rsidRPr="00F366F4" w:rsidRDefault="00876F4F" w:rsidP="00234E0F">
            <w:pPr>
              <w:spacing w:after="0"/>
              <w:jc w:val="right"/>
              <w:rPr>
                <w:color w:val="000000"/>
                <w:sz w:val="20"/>
              </w:rPr>
            </w:pPr>
            <w:r w:rsidRPr="00533C05">
              <w:rPr>
                <w:rFonts w:eastAsia="Times New Roman" w:cs="Times New Roman"/>
                <w:color w:val="000000"/>
                <w:sz w:val="20"/>
                <w:szCs w:val="20"/>
              </w:rPr>
              <w:t>5</w:t>
            </w:r>
            <w:r>
              <w:rPr>
                <w:rFonts w:eastAsia="Times New Roman" w:cs="Times New Roman"/>
                <w:color w:val="000000"/>
                <w:sz w:val="20"/>
                <w:szCs w:val="20"/>
              </w:rPr>
              <w:t>4</w:t>
            </w:r>
            <w:r w:rsidRPr="00533C05">
              <w:rPr>
                <w:rFonts w:eastAsia="Times New Roman" w:cs="Times New Roman"/>
                <w:color w:val="000000"/>
                <w:sz w:val="20"/>
                <w:szCs w:val="20"/>
              </w:rPr>
              <w:t>.</w:t>
            </w:r>
            <w:r>
              <w:rPr>
                <w:rFonts w:eastAsia="Times New Roman" w:cs="Times New Roman"/>
                <w:color w:val="000000"/>
                <w:sz w:val="20"/>
                <w:szCs w:val="20"/>
              </w:rPr>
              <w:t>8</w:t>
            </w:r>
          </w:p>
        </w:tc>
      </w:tr>
      <w:tr w:rsidR="009253C0" w:rsidRPr="00533C05" w14:paraId="6C8CC311" w14:textId="77777777" w:rsidTr="00234E0F">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C0B4C5B" w14:textId="77777777" w:rsidR="00876F4F" w:rsidRPr="00F366F4" w:rsidRDefault="00876F4F" w:rsidP="00234E0F">
            <w:pPr>
              <w:spacing w:after="0"/>
              <w:jc w:val="right"/>
              <w:rPr>
                <w:color w:val="000000"/>
                <w:sz w:val="20"/>
              </w:rPr>
            </w:pPr>
            <w:r w:rsidRPr="00F366F4">
              <w:rPr>
                <w:color w:val="000000"/>
                <w:sz w:val="20"/>
              </w:rPr>
              <w:t>8</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87CE666" w14:textId="39CF1037" w:rsidR="00876F4F" w:rsidRPr="00F366F4" w:rsidRDefault="00876F4F" w:rsidP="00234E0F">
            <w:pPr>
              <w:spacing w:after="0"/>
              <w:jc w:val="right"/>
              <w:rPr>
                <w:color w:val="000000"/>
                <w:sz w:val="20"/>
              </w:rPr>
            </w:pPr>
            <w:r>
              <w:rPr>
                <w:rFonts w:eastAsia="Times New Roman" w:cs="Times New Roman"/>
                <w:color w:val="000000"/>
                <w:sz w:val="20"/>
                <w:szCs w:val="20"/>
              </w:rPr>
              <w:t>2.7</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A9F9864" w14:textId="57ADDEC1" w:rsidR="00876F4F" w:rsidRPr="00F366F4" w:rsidRDefault="00876F4F" w:rsidP="00234E0F">
            <w:pPr>
              <w:spacing w:after="0"/>
              <w:jc w:val="right"/>
              <w:rPr>
                <w:color w:val="000000"/>
                <w:sz w:val="20"/>
              </w:rPr>
            </w:pPr>
            <w:r w:rsidRPr="00533C05">
              <w:rPr>
                <w:rFonts w:eastAsia="Times New Roman" w:cs="Times New Roman"/>
                <w:color w:val="000000"/>
                <w:sz w:val="20"/>
                <w:szCs w:val="20"/>
              </w:rPr>
              <w:t>4.</w:t>
            </w:r>
            <w:r>
              <w:rPr>
                <w:rFonts w:eastAsia="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7A61D27" w14:textId="4447649C" w:rsidR="00876F4F" w:rsidRPr="00F366F4" w:rsidRDefault="00876F4F" w:rsidP="00234E0F">
            <w:pPr>
              <w:spacing w:after="0"/>
              <w:jc w:val="right"/>
              <w:rPr>
                <w:color w:val="000000"/>
                <w:sz w:val="20"/>
              </w:rPr>
            </w:pPr>
            <w:r>
              <w:rPr>
                <w:rFonts w:eastAsia="Times New Roman" w:cs="Times New Roman"/>
                <w:color w:val="000000"/>
                <w:sz w:val="20"/>
                <w:szCs w:val="20"/>
              </w:rPr>
              <w:t>5.1</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AB93F6D" w14:textId="01EB8DFE" w:rsidR="00876F4F" w:rsidRPr="00F366F4" w:rsidRDefault="00876F4F" w:rsidP="00234E0F">
            <w:pPr>
              <w:spacing w:after="0"/>
              <w:jc w:val="right"/>
              <w:rPr>
                <w:color w:val="000000"/>
                <w:sz w:val="20"/>
              </w:rPr>
            </w:pPr>
            <w:r w:rsidRPr="00F366F4">
              <w:rPr>
                <w:color w:val="000000"/>
                <w:sz w:val="20"/>
              </w:rPr>
              <w:t>8</w:t>
            </w:r>
            <w:r>
              <w:rPr>
                <w:rFonts w:eastAsia="Times New Roman" w:cs="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FC325C5" w14:textId="44B2EA2B" w:rsidR="00876F4F" w:rsidRPr="00F366F4" w:rsidRDefault="00876F4F" w:rsidP="00234E0F">
            <w:pPr>
              <w:spacing w:after="0"/>
              <w:jc w:val="right"/>
              <w:rPr>
                <w:color w:val="000000"/>
                <w:sz w:val="20"/>
              </w:rPr>
            </w:pPr>
            <w:r w:rsidRPr="00533C05">
              <w:rPr>
                <w:rFonts w:eastAsia="Times New Roman" w:cs="Times New Roman"/>
                <w:color w:val="000000"/>
                <w:sz w:val="20"/>
                <w:szCs w:val="20"/>
              </w:rPr>
              <w:t>9.</w:t>
            </w:r>
            <w:r>
              <w:rPr>
                <w:rFonts w:eastAsia="Times New Roman" w:cs="Times New Roman"/>
                <w:color w:val="000000"/>
                <w:sz w:val="20"/>
                <w:szCs w:val="20"/>
              </w:rPr>
              <w:t>4</w:t>
            </w:r>
          </w:p>
        </w:tc>
      </w:tr>
      <w:tr w:rsidR="009253C0" w:rsidRPr="00533C05" w14:paraId="6787F8FE" w14:textId="77777777" w:rsidTr="00234E0F">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F244E78" w14:textId="77777777" w:rsidR="00876F4F" w:rsidRPr="00F366F4" w:rsidRDefault="00876F4F" w:rsidP="00234E0F">
            <w:pPr>
              <w:spacing w:after="0"/>
              <w:jc w:val="right"/>
              <w:rPr>
                <w:color w:val="000000" w:themeColor="text1"/>
                <w:sz w:val="20"/>
              </w:rPr>
            </w:pPr>
            <w:r w:rsidRPr="00F366F4">
              <w:rPr>
                <w:color w:val="000000" w:themeColor="text1"/>
                <w:sz w:val="20"/>
              </w:rPr>
              <w:t>12</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EE355FE" w14:textId="1ECE4380" w:rsidR="00876F4F" w:rsidRPr="00F366F4" w:rsidRDefault="00876F4F" w:rsidP="00234E0F">
            <w:pPr>
              <w:spacing w:after="0"/>
              <w:jc w:val="right"/>
              <w:rPr>
                <w:color w:val="000000" w:themeColor="text1"/>
                <w:sz w:val="20"/>
              </w:rPr>
            </w:pPr>
            <w:r w:rsidRPr="00533C05">
              <w:rPr>
                <w:rFonts w:eastAsia="Times New Roman" w:cs="Times New Roman"/>
                <w:color w:val="000000" w:themeColor="text1"/>
                <w:sz w:val="20"/>
                <w:szCs w:val="20"/>
              </w:rPr>
              <w:t>3</w:t>
            </w:r>
            <w:r>
              <w:rPr>
                <w:rFonts w:eastAsia="Times New Roman" w:cs="Times New Roman"/>
                <w:color w:val="000000" w:themeColor="text1"/>
                <w:sz w:val="20"/>
                <w:szCs w:val="20"/>
              </w:rPr>
              <w:t>5</w:t>
            </w:r>
            <w:r w:rsidRPr="00F366F4">
              <w:rPr>
                <w:color w:val="000000" w:themeColor="text1"/>
                <w:sz w:val="20"/>
              </w:rPr>
              <w:t>.3</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266C99D" w14:textId="6A0041BD" w:rsidR="00876F4F" w:rsidRPr="00F366F4" w:rsidRDefault="00876F4F" w:rsidP="00234E0F">
            <w:pPr>
              <w:spacing w:after="0"/>
              <w:jc w:val="right"/>
              <w:rPr>
                <w:color w:val="000000" w:themeColor="text1"/>
                <w:sz w:val="20"/>
              </w:rPr>
            </w:pPr>
            <w:r w:rsidRPr="00533C05">
              <w:rPr>
                <w:rFonts w:eastAsia="Times New Roman" w:cs="Times New Roman"/>
                <w:color w:val="000000" w:themeColor="text1"/>
                <w:sz w:val="20"/>
                <w:szCs w:val="20"/>
              </w:rPr>
              <w:t>32.</w:t>
            </w:r>
            <w:r>
              <w:rPr>
                <w:rFonts w:eastAsia="Times New Roman" w:cs="Times New Roman"/>
                <w:color w:val="000000" w:themeColor="text1"/>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C516BCB" w14:textId="26E6F15D" w:rsidR="00876F4F" w:rsidRPr="00F366F4" w:rsidRDefault="00876F4F" w:rsidP="00234E0F">
            <w:pPr>
              <w:spacing w:after="0"/>
              <w:jc w:val="right"/>
              <w:rPr>
                <w:color w:val="000000" w:themeColor="text1"/>
                <w:sz w:val="20"/>
              </w:rPr>
            </w:pPr>
            <w:r>
              <w:rPr>
                <w:rFonts w:eastAsia="Times New Roman" w:cs="Times New Roman"/>
                <w:color w:val="000000" w:themeColor="text1"/>
                <w:sz w:val="20"/>
                <w:szCs w:val="20"/>
              </w:rPr>
              <w:t>30</w:t>
            </w:r>
            <w:r w:rsidRPr="00533C05">
              <w:rPr>
                <w:rFonts w:eastAsia="Times New Roman" w:cs="Times New Roman"/>
                <w:color w:val="000000" w:themeColor="text1"/>
                <w:sz w:val="20"/>
                <w:szCs w:val="20"/>
              </w:rPr>
              <w:t>.</w:t>
            </w:r>
            <w:r>
              <w:rPr>
                <w:rFonts w:eastAsia="Times New Roman" w:cs="Times New Roman"/>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AA129D4" w14:textId="04C64060" w:rsidR="00876F4F" w:rsidRPr="00F366F4" w:rsidRDefault="00876F4F" w:rsidP="00234E0F">
            <w:pPr>
              <w:spacing w:after="0"/>
              <w:jc w:val="right"/>
              <w:rPr>
                <w:color w:val="000000" w:themeColor="text1"/>
                <w:sz w:val="20"/>
              </w:rPr>
            </w:pPr>
            <w:r w:rsidRPr="00533C05">
              <w:rPr>
                <w:rFonts w:eastAsia="Times New Roman" w:cs="Times New Roman"/>
                <w:color w:val="000000" w:themeColor="text1"/>
                <w:sz w:val="20"/>
                <w:szCs w:val="20"/>
              </w:rPr>
              <w:t>24.</w:t>
            </w:r>
            <w:r>
              <w:rPr>
                <w:rFonts w:eastAsia="Times New Roman" w:cs="Times New Roman"/>
                <w:color w:val="000000" w:themeColor="text1"/>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3CE971C" w14:textId="44A05035" w:rsidR="00876F4F" w:rsidRPr="00F366F4" w:rsidRDefault="00876F4F" w:rsidP="00234E0F">
            <w:pPr>
              <w:spacing w:after="0"/>
              <w:jc w:val="right"/>
              <w:rPr>
                <w:color w:val="000000" w:themeColor="text1"/>
                <w:sz w:val="20"/>
              </w:rPr>
            </w:pPr>
            <w:r w:rsidRPr="00533C05">
              <w:rPr>
                <w:rFonts w:eastAsia="Times New Roman" w:cs="Times New Roman"/>
                <w:color w:val="000000" w:themeColor="text1"/>
                <w:sz w:val="20"/>
                <w:szCs w:val="20"/>
              </w:rPr>
              <w:t>2</w:t>
            </w:r>
            <w:r>
              <w:rPr>
                <w:rFonts w:eastAsia="Times New Roman" w:cs="Times New Roman"/>
                <w:color w:val="000000" w:themeColor="text1"/>
                <w:sz w:val="20"/>
                <w:szCs w:val="20"/>
              </w:rPr>
              <w:t>3</w:t>
            </w:r>
            <w:r w:rsidRPr="00533C05">
              <w:rPr>
                <w:rFonts w:eastAsia="Times New Roman" w:cs="Times New Roman"/>
                <w:color w:val="000000" w:themeColor="text1"/>
                <w:sz w:val="20"/>
                <w:szCs w:val="20"/>
              </w:rPr>
              <w:t>.</w:t>
            </w:r>
            <w:r>
              <w:rPr>
                <w:rFonts w:eastAsia="Times New Roman" w:cs="Times New Roman"/>
                <w:color w:val="000000" w:themeColor="text1"/>
                <w:sz w:val="20"/>
                <w:szCs w:val="20"/>
              </w:rPr>
              <w:t>2</w:t>
            </w:r>
          </w:p>
        </w:tc>
      </w:tr>
      <w:tr w:rsidR="009253C0" w:rsidRPr="00533C05" w14:paraId="23922B33" w14:textId="77777777" w:rsidTr="00234E0F">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66810B9" w14:textId="77777777" w:rsidR="00876F4F" w:rsidRPr="00F366F4" w:rsidRDefault="00876F4F" w:rsidP="00234E0F">
            <w:pPr>
              <w:spacing w:after="0"/>
              <w:jc w:val="right"/>
              <w:rPr>
                <w:color w:val="000000"/>
                <w:sz w:val="20"/>
              </w:rPr>
            </w:pPr>
            <w:r w:rsidRPr="00F366F4">
              <w:rPr>
                <w:color w:val="000000"/>
                <w:sz w:val="20"/>
              </w:rPr>
              <w:t>16</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1566AFD" w14:textId="5531D6F9" w:rsidR="00876F4F" w:rsidRPr="00F366F4" w:rsidRDefault="00876F4F" w:rsidP="00234E0F">
            <w:pPr>
              <w:spacing w:after="0"/>
              <w:jc w:val="right"/>
              <w:rPr>
                <w:color w:val="000000"/>
                <w:sz w:val="20"/>
              </w:rPr>
            </w:pPr>
            <w:r w:rsidRPr="00533C05">
              <w:rPr>
                <w:rFonts w:eastAsia="Times New Roman" w:cs="Times New Roman"/>
                <w:color w:val="000000"/>
                <w:sz w:val="20"/>
                <w:szCs w:val="20"/>
              </w:rPr>
              <w:t>3.8</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B534753" w14:textId="7410E080" w:rsidR="00876F4F" w:rsidRPr="00F366F4" w:rsidRDefault="00876F4F" w:rsidP="00234E0F">
            <w:pPr>
              <w:spacing w:after="0"/>
              <w:jc w:val="right"/>
              <w:rPr>
                <w:color w:val="000000"/>
                <w:sz w:val="20"/>
              </w:rPr>
            </w:pPr>
            <w:r w:rsidRPr="00533C05">
              <w:rPr>
                <w:rFonts w:eastAsia="Times New Roman" w:cs="Times New Roman"/>
                <w:color w:val="00000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4E405B5" w14:textId="46818ABB" w:rsidR="00876F4F" w:rsidRPr="00F366F4" w:rsidRDefault="00876F4F" w:rsidP="00234E0F">
            <w:pPr>
              <w:spacing w:after="0"/>
              <w:jc w:val="right"/>
              <w:rPr>
                <w:color w:val="000000"/>
                <w:sz w:val="20"/>
              </w:rPr>
            </w:pPr>
            <w:r>
              <w:rPr>
                <w:rFonts w:eastAsia="Times New Roman" w:cs="Times New Roman"/>
                <w:color w:val="000000"/>
                <w:sz w:val="20"/>
                <w:szCs w:val="20"/>
              </w:rPr>
              <w:t>4.</w:t>
            </w:r>
            <w:r w:rsidRPr="00F366F4">
              <w:rPr>
                <w:color w:val="000000"/>
                <w:sz w:val="20"/>
              </w:rPr>
              <w:t>3</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ABBC054" w14:textId="72B40810" w:rsidR="00876F4F" w:rsidRPr="00F366F4" w:rsidRDefault="00876F4F" w:rsidP="00234E0F">
            <w:pPr>
              <w:spacing w:after="0"/>
              <w:jc w:val="right"/>
              <w:rPr>
                <w:color w:val="000000"/>
                <w:sz w:val="20"/>
              </w:rPr>
            </w:pPr>
            <w:r w:rsidRPr="00533C05">
              <w:rPr>
                <w:rFonts w:eastAsia="Times New Roman" w:cs="Times New Roman"/>
                <w:color w:val="000000"/>
                <w:sz w:val="20"/>
                <w:szCs w:val="20"/>
              </w:rPr>
              <w:t>5.</w:t>
            </w:r>
            <w:r>
              <w:rPr>
                <w:rFonts w:eastAsia="Times New Roman" w:cs="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FCE2C9B" w14:textId="7FA64FBC" w:rsidR="00876F4F" w:rsidRPr="00F366F4" w:rsidRDefault="00876F4F" w:rsidP="00234E0F">
            <w:pPr>
              <w:spacing w:after="0"/>
              <w:jc w:val="right"/>
              <w:rPr>
                <w:color w:val="000000"/>
                <w:sz w:val="20"/>
              </w:rPr>
            </w:pPr>
            <w:r w:rsidRPr="00533C05">
              <w:rPr>
                <w:rFonts w:eastAsia="Times New Roman" w:cs="Times New Roman"/>
                <w:color w:val="000000"/>
                <w:sz w:val="20"/>
                <w:szCs w:val="20"/>
              </w:rPr>
              <w:t>5</w:t>
            </w:r>
            <w:r>
              <w:rPr>
                <w:rFonts w:eastAsia="Times New Roman" w:cs="Times New Roman"/>
                <w:color w:val="000000"/>
                <w:sz w:val="20"/>
                <w:szCs w:val="20"/>
              </w:rPr>
              <w:t>.3</w:t>
            </w:r>
          </w:p>
        </w:tc>
      </w:tr>
      <w:tr w:rsidR="009253C0" w:rsidRPr="00533C05" w14:paraId="5A04F3A2" w14:textId="77777777" w:rsidTr="00234E0F">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99004CA" w14:textId="77777777" w:rsidR="00876F4F" w:rsidRPr="00F366F4" w:rsidRDefault="00876F4F" w:rsidP="00234E0F">
            <w:pPr>
              <w:spacing w:after="0"/>
              <w:jc w:val="right"/>
              <w:rPr>
                <w:color w:val="000000"/>
                <w:sz w:val="20"/>
              </w:rPr>
            </w:pPr>
            <w:r w:rsidRPr="00F366F4">
              <w:rPr>
                <w:color w:val="000000"/>
                <w:sz w:val="20"/>
              </w:rPr>
              <w:t>20</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5149B3D" w14:textId="2A4DDE4D" w:rsidR="00876F4F" w:rsidRPr="00F366F4" w:rsidRDefault="00876F4F" w:rsidP="00234E0F">
            <w:pPr>
              <w:spacing w:after="0"/>
              <w:jc w:val="right"/>
              <w:rPr>
                <w:color w:val="000000"/>
                <w:sz w:val="20"/>
              </w:rPr>
            </w:pPr>
            <w:r w:rsidRPr="00533C05">
              <w:rPr>
                <w:rFonts w:eastAsia="Times New Roman" w:cs="Times New Roman"/>
                <w:color w:val="000000"/>
                <w:sz w:val="20"/>
                <w:szCs w:val="20"/>
              </w:rPr>
              <w:t>1.</w:t>
            </w:r>
            <w:r>
              <w:rPr>
                <w:rFonts w:eastAsia="Times New Roman" w:cs="Times New Roman"/>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294558A" w14:textId="08560552" w:rsidR="00876F4F" w:rsidRPr="00F366F4" w:rsidRDefault="00876F4F" w:rsidP="00234E0F">
            <w:pPr>
              <w:spacing w:after="0"/>
              <w:jc w:val="right"/>
              <w:rPr>
                <w:color w:val="000000"/>
                <w:sz w:val="20"/>
              </w:rPr>
            </w:pPr>
            <w:r>
              <w:rPr>
                <w:rFonts w:eastAsia="Times New Roman" w:cs="Times New Roman"/>
                <w:color w:val="000000"/>
                <w:sz w:val="20"/>
                <w:szCs w:val="20"/>
              </w:rPr>
              <w:t>1.8</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FA27BED" w14:textId="77777777" w:rsidR="00876F4F" w:rsidRPr="00F366F4" w:rsidRDefault="00876F4F" w:rsidP="00234E0F">
            <w:pPr>
              <w:spacing w:after="0"/>
              <w:jc w:val="right"/>
              <w:rPr>
                <w:color w:val="000000"/>
                <w:sz w:val="20"/>
              </w:rPr>
            </w:pPr>
            <w:r w:rsidRPr="00F366F4">
              <w:rPr>
                <w:color w:val="000000"/>
                <w:sz w:val="20"/>
              </w:rPr>
              <w:t>2</w:t>
            </w:r>
            <w:r w:rsidRPr="00533C05">
              <w:rPr>
                <w:rFonts w:eastAsia="Times New Roman" w:cs="Times New Roman"/>
                <w:color w:val="000000"/>
                <w:sz w:val="20"/>
                <w:szCs w:val="20"/>
              </w:rPr>
              <w:t>.</w:t>
            </w:r>
            <w:r>
              <w:rPr>
                <w:rFonts w:eastAsia="Times New Roman" w:cs="Times New Roman"/>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7792969" w14:textId="6716C9FE" w:rsidR="00876F4F" w:rsidRPr="00F366F4" w:rsidRDefault="00876F4F" w:rsidP="00234E0F">
            <w:pPr>
              <w:spacing w:after="0"/>
              <w:jc w:val="right"/>
              <w:rPr>
                <w:color w:val="000000"/>
                <w:sz w:val="20"/>
              </w:rPr>
            </w:pPr>
            <w:r>
              <w:rPr>
                <w:rFonts w:eastAsia="Times New Roman" w:cs="Times New Roman"/>
                <w:color w:val="000000"/>
                <w:sz w:val="20"/>
                <w:szCs w:val="20"/>
              </w:rPr>
              <w:t>2</w:t>
            </w:r>
            <w:r w:rsidRPr="00F366F4">
              <w:rPr>
                <w:color w:val="000000"/>
                <w:sz w:val="20"/>
              </w:rPr>
              <w:t>.9</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E3673CB" w14:textId="704FFFBE" w:rsidR="00876F4F" w:rsidRPr="00F366F4" w:rsidRDefault="00876F4F" w:rsidP="00234E0F">
            <w:pPr>
              <w:spacing w:after="0"/>
              <w:jc w:val="right"/>
              <w:rPr>
                <w:color w:val="000000"/>
                <w:sz w:val="20"/>
              </w:rPr>
            </w:pPr>
            <w:r>
              <w:rPr>
                <w:rFonts w:eastAsia="Times New Roman" w:cs="Times New Roman"/>
                <w:color w:val="000000"/>
                <w:sz w:val="20"/>
                <w:szCs w:val="20"/>
              </w:rPr>
              <w:t>3</w:t>
            </w:r>
            <w:r w:rsidRPr="00F366F4">
              <w:rPr>
                <w:color w:val="000000"/>
                <w:sz w:val="20"/>
              </w:rPr>
              <w:t>.1</w:t>
            </w:r>
          </w:p>
        </w:tc>
      </w:tr>
      <w:tr w:rsidR="009253C0" w:rsidRPr="00533C05" w14:paraId="78DB702F" w14:textId="77777777" w:rsidTr="00234E0F">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B03733C" w14:textId="77777777" w:rsidR="00876F4F" w:rsidRPr="00F366F4" w:rsidRDefault="00876F4F" w:rsidP="00234E0F">
            <w:pPr>
              <w:spacing w:after="0"/>
              <w:jc w:val="right"/>
              <w:rPr>
                <w:color w:val="000000" w:themeColor="text1"/>
                <w:sz w:val="20"/>
              </w:rPr>
            </w:pPr>
            <w:r w:rsidRPr="00F366F4">
              <w:rPr>
                <w:color w:val="000000" w:themeColor="text1"/>
                <w:sz w:val="20"/>
              </w:rPr>
              <w:t>24</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E686F0F" w14:textId="4813207F" w:rsidR="00876F4F" w:rsidRPr="00F366F4" w:rsidRDefault="00876F4F" w:rsidP="00234E0F">
            <w:pPr>
              <w:spacing w:after="0"/>
              <w:jc w:val="right"/>
              <w:rPr>
                <w:color w:val="000000" w:themeColor="text1"/>
                <w:sz w:val="20"/>
              </w:rPr>
            </w:pPr>
            <w:r w:rsidRPr="00533C05">
              <w:rPr>
                <w:rFonts w:eastAsia="Times New Roman" w:cs="Times New Roman"/>
                <w:color w:val="000000" w:themeColor="text1"/>
                <w:sz w:val="20"/>
                <w:szCs w:val="20"/>
              </w:rPr>
              <w:t>2.8</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7795703" w14:textId="20D2875F" w:rsidR="00876F4F" w:rsidRPr="00F366F4" w:rsidRDefault="00876F4F" w:rsidP="00234E0F">
            <w:pPr>
              <w:spacing w:after="0"/>
              <w:jc w:val="right"/>
              <w:rPr>
                <w:color w:val="000000" w:themeColor="text1"/>
                <w:sz w:val="20"/>
              </w:rPr>
            </w:pPr>
            <w:r w:rsidRPr="00533C05">
              <w:rPr>
                <w:rFonts w:eastAsia="Times New Roman" w:cs="Times New Roman"/>
                <w:color w:val="000000" w:themeColor="text1"/>
                <w:sz w:val="20"/>
                <w:szCs w:val="20"/>
              </w:rPr>
              <w:t>2.9</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50BC948" w14:textId="47A01C2E" w:rsidR="00876F4F" w:rsidRPr="00F366F4" w:rsidRDefault="00876F4F" w:rsidP="00234E0F">
            <w:pPr>
              <w:spacing w:after="0"/>
              <w:jc w:val="right"/>
              <w:rPr>
                <w:color w:val="000000" w:themeColor="text1"/>
                <w:sz w:val="20"/>
              </w:rPr>
            </w:pPr>
            <w:r w:rsidRPr="00533C05">
              <w:rPr>
                <w:rFonts w:eastAsia="Times New Roman" w:cs="Times New Roman"/>
                <w:color w:val="000000" w:themeColor="text1"/>
                <w:sz w:val="20"/>
                <w:szCs w:val="20"/>
              </w:rPr>
              <w:t>2.</w:t>
            </w:r>
            <w:r>
              <w:rPr>
                <w:rFonts w:eastAsia="Times New Roman" w:cs="Times New Roman"/>
                <w:color w:val="000000" w:themeColor="text1"/>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035BC07" w14:textId="6465F44A" w:rsidR="00876F4F" w:rsidRPr="00F366F4" w:rsidRDefault="00876F4F" w:rsidP="00234E0F">
            <w:pPr>
              <w:spacing w:after="0"/>
              <w:jc w:val="right"/>
              <w:rPr>
                <w:color w:val="000000" w:themeColor="text1"/>
                <w:sz w:val="20"/>
              </w:rPr>
            </w:pPr>
            <w:r w:rsidRPr="00533C05">
              <w:rPr>
                <w:rFonts w:eastAsia="Times New Roman" w:cs="Times New Roman"/>
                <w:color w:val="000000" w:themeColor="text1"/>
                <w:sz w:val="20"/>
                <w:szCs w:val="20"/>
              </w:rPr>
              <w:t>2.</w:t>
            </w:r>
            <w:r>
              <w:rPr>
                <w:rFonts w:eastAsia="Times New Roman" w:cs="Times New Roman"/>
                <w:color w:val="000000" w:themeColor="text1"/>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7B2F8A" w14:textId="3659A415" w:rsidR="00876F4F" w:rsidRPr="00F366F4" w:rsidRDefault="00876F4F" w:rsidP="00234E0F">
            <w:pPr>
              <w:spacing w:after="0"/>
              <w:jc w:val="right"/>
              <w:rPr>
                <w:color w:val="000000" w:themeColor="text1"/>
                <w:sz w:val="20"/>
              </w:rPr>
            </w:pPr>
            <w:r w:rsidRPr="00533C05">
              <w:rPr>
                <w:rFonts w:eastAsia="Times New Roman" w:cs="Times New Roman"/>
                <w:color w:val="000000" w:themeColor="text1"/>
                <w:sz w:val="20"/>
                <w:szCs w:val="20"/>
              </w:rPr>
              <w:t>2.</w:t>
            </w:r>
            <w:r>
              <w:rPr>
                <w:rFonts w:eastAsia="Times New Roman" w:cs="Times New Roman"/>
                <w:color w:val="000000" w:themeColor="text1"/>
                <w:sz w:val="20"/>
                <w:szCs w:val="20"/>
              </w:rPr>
              <w:t>2</w:t>
            </w:r>
          </w:p>
        </w:tc>
      </w:tr>
      <w:tr w:rsidR="009253C0" w:rsidRPr="00533C05" w14:paraId="42B65908" w14:textId="77777777" w:rsidTr="00234E0F">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BBDFA" w14:textId="77777777" w:rsidR="00876F4F" w:rsidRPr="00F366F4" w:rsidRDefault="00876F4F" w:rsidP="00234E0F">
            <w:pPr>
              <w:spacing w:after="0"/>
              <w:jc w:val="right"/>
              <w:rPr>
                <w:color w:val="000000"/>
                <w:sz w:val="20"/>
              </w:rPr>
            </w:pPr>
            <w:r w:rsidRPr="00F366F4">
              <w:rPr>
                <w:color w:val="000000"/>
                <w:sz w:val="20"/>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3DFE2" w14:textId="27F8945E" w:rsidR="00876F4F" w:rsidRPr="00F366F4" w:rsidRDefault="00876F4F" w:rsidP="00234E0F">
            <w:pPr>
              <w:spacing w:after="0"/>
              <w:jc w:val="right"/>
              <w:rPr>
                <w:color w:val="000000"/>
                <w:sz w:val="20"/>
              </w:rPr>
            </w:pPr>
            <w:r w:rsidRPr="00F366F4">
              <w:rPr>
                <w:color w:val="000000"/>
                <w:sz w:val="20"/>
              </w:rPr>
              <w:t>0.</w:t>
            </w:r>
            <w:r w:rsidRPr="00533C05">
              <w:rPr>
                <w:rFonts w:eastAsia="Times New Roman"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C68E" w14:textId="0660B2B8" w:rsidR="00876F4F" w:rsidRPr="00F366F4" w:rsidRDefault="00876F4F" w:rsidP="00234E0F">
            <w:pPr>
              <w:spacing w:after="0"/>
              <w:jc w:val="right"/>
              <w:rPr>
                <w:color w:val="000000"/>
                <w:sz w:val="20"/>
              </w:rPr>
            </w:pPr>
            <w:r w:rsidRPr="00F366F4">
              <w:rPr>
                <w:color w:val="000000"/>
                <w:sz w:val="20"/>
              </w:rPr>
              <w:t>0.</w:t>
            </w:r>
            <w:r w:rsidRPr="00533C05">
              <w:rPr>
                <w:rFonts w:eastAsia="Times New Roman" w:cs="Times New Roman"/>
                <w:color w:val="00000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E0D2E" w14:textId="46B4E4C8" w:rsidR="00876F4F" w:rsidRPr="00F366F4" w:rsidRDefault="00876F4F" w:rsidP="00234E0F">
            <w:pPr>
              <w:spacing w:after="0"/>
              <w:jc w:val="right"/>
              <w:rPr>
                <w:color w:val="000000"/>
                <w:sz w:val="20"/>
              </w:rPr>
            </w:pPr>
            <w:r w:rsidRPr="00F366F4">
              <w:rPr>
                <w:color w:val="000000"/>
                <w:sz w:val="20"/>
              </w:rPr>
              <w:t>0.</w:t>
            </w:r>
            <w:r>
              <w:rPr>
                <w:rFonts w:eastAsia="Times New Roman" w:cs="Times New Roman"/>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5E27" w14:textId="24B99F61" w:rsidR="00876F4F" w:rsidRPr="00F366F4" w:rsidRDefault="00876F4F" w:rsidP="00234E0F">
            <w:pPr>
              <w:spacing w:after="0"/>
              <w:jc w:val="right"/>
              <w:rPr>
                <w:color w:val="000000"/>
                <w:sz w:val="20"/>
              </w:rPr>
            </w:pPr>
            <w:r w:rsidRPr="00F366F4">
              <w:rPr>
                <w:color w:val="000000"/>
                <w:sz w:val="20"/>
              </w:rPr>
              <w:t>0.</w:t>
            </w:r>
            <w:r w:rsidRPr="00533C05">
              <w:rPr>
                <w:rFonts w:eastAsia="Times New Roman" w:cs="Times New Roman"/>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4B9BD" w14:textId="00241419" w:rsidR="00876F4F" w:rsidRPr="00F366F4" w:rsidRDefault="00876F4F" w:rsidP="00234E0F">
            <w:pPr>
              <w:spacing w:after="0"/>
              <w:jc w:val="right"/>
              <w:rPr>
                <w:color w:val="000000"/>
                <w:sz w:val="20"/>
              </w:rPr>
            </w:pPr>
            <w:r w:rsidRPr="00F366F4">
              <w:rPr>
                <w:color w:val="000000"/>
                <w:sz w:val="20"/>
              </w:rPr>
              <w:t>0.</w:t>
            </w:r>
            <w:r>
              <w:rPr>
                <w:rFonts w:eastAsia="Times New Roman" w:cs="Times New Roman"/>
                <w:color w:val="000000"/>
                <w:sz w:val="20"/>
                <w:szCs w:val="20"/>
              </w:rPr>
              <w:t>9</w:t>
            </w:r>
          </w:p>
        </w:tc>
      </w:tr>
      <w:tr w:rsidR="009253C0" w:rsidRPr="00533C05" w14:paraId="3C63688A" w14:textId="77777777" w:rsidTr="00234E0F">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26BC9" w14:textId="77777777" w:rsidR="00876F4F" w:rsidRPr="00F366F4" w:rsidRDefault="00876F4F" w:rsidP="00234E0F">
            <w:pPr>
              <w:spacing w:after="0"/>
              <w:jc w:val="right"/>
              <w:rPr>
                <w:color w:val="000000"/>
                <w:sz w:val="20"/>
              </w:rPr>
            </w:pPr>
            <w:r w:rsidRPr="00F366F4">
              <w:rPr>
                <w:color w:val="000000"/>
                <w:sz w:val="20"/>
              </w:rPr>
              <w:t>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DCBA" w14:textId="77777777" w:rsidR="00876F4F" w:rsidRPr="00F366F4" w:rsidRDefault="00876F4F" w:rsidP="00234E0F">
            <w:pPr>
              <w:spacing w:after="0"/>
              <w:jc w:val="right"/>
              <w:rPr>
                <w:color w:val="000000"/>
                <w:sz w:val="20"/>
              </w:rPr>
            </w:pPr>
            <w:r w:rsidRPr="00F366F4">
              <w:rPr>
                <w:color w:val="000000"/>
                <w:sz w:val="20"/>
              </w:rPr>
              <w:t>0</w:t>
            </w:r>
            <w:r w:rsidRPr="00533C05">
              <w:rPr>
                <w:rFonts w:eastAsia="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9BC31" w14:textId="77777777" w:rsidR="00876F4F" w:rsidRPr="00F366F4" w:rsidRDefault="00876F4F" w:rsidP="00234E0F">
            <w:pPr>
              <w:spacing w:after="0"/>
              <w:jc w:val="right"/>
              <w:rPr>
                <w:color w:val="000000"/>
                <w:sz w:val="20"/>
              </w:rPr>
            </w:pPr>
            <w:r w:rsidRPr="00F366F4">
              <w:rPr>
                <w:color w:val="000000"/>
                <w:sz w:val="20"/>
              </w:rPr>
              <w:t>0</w:t>
            </w:r>
            <w:r w:rsidRPr="00533C05">
              <w:rPr>
                <w:rFonts w:eastAsia="Times New Roman" w:cs="Times New Roman"/>
                <w:color w:val="000000"/>
                <w:sz w:val="20"/>
                <w:szCs w:val="20"/>
              </w:rPr>
              <w:t>.</w:t>
            </w:r>
            <w:r>
              <w:rPr>
                <w:rFonts w:eastAsia="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55793" w14:textId="0323BDFB" w:rsidR="00876F4F" w:rsidRPr="00F366F4" w:rsidRDefault="00876F4F" w:rsidP="00234E0F">
            <w:pPr>
              <w:spacing w:after="0"/>
              <w:jc w:val="right"/>
              <w:rPr>
                <w:color w:val="000000"/>
                <w:sz w:val="20"/>
              </w:rPr>
            </w:pPr>
            <w:r w:rsidRPr="00F366F4">
              <w:rPr>
                <w:color w:val="000000"/>
                <w:sz w:val="20"/>
              </w:rPr>
              <w:t>0.</w:t>
            </w:r>
            <w:r w:rsidRPr="00533C05">
              <w:rPr>
                <w:rFonts w:eastAsia="Times New Roman" w:cs="Times New Roman"/>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8FF2" w14:textId="0D3BF0D3" w:rsidR="00876F4F" w:rsidRPr="00F366F4" w:rsidRDefault="00876F4F" w:rsidP="00234E0F">
            <w:pPr>
              <w:spacing w:after="0"/>
              <w:jc w:val="right"/>
              <w:rPr>
                <w:color w:val="000000"/>
                <w:sz w:val="20"/>
              </w:rPr>
            </w:pPr>
            <w:r w:rsidRPr="00F366F4">
              <w:rPr>
                <w:color w:val="000000"/>
                <w:sz w:val="20"/>
              </w:rPr>
              <w:t>0.</w:t>
            </w:r>
            <w:r>
              <w:rPr>
                <w:rFonts w:eastAsia="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82656" w14:textId="4F9277B3" w:rsidR="00876F4F" w:rsidRPr="00F366F4" w:rsidRDefault="00876F4F" w:rsidP="00234E0F">
            <w:pPr>
              <w:spacing w:after="0"/>
              <w:jc w:val="right"/>
              <w:rPr>
                <w:color w:val="000000"/>
                <w:sz w:val="20"/>
              </w:rPr>
            </w:pPr>
            <w:r w:rsidRPr="00F366F4">
              <w:rPr>
                <w:color w:val="000000"/>
                <w:sz w:val="20"/>
              </w:rPr>
              <w:t>0.</w:t>
            </w:r>
            <w:r>
              <w:rPr>
                <w:rFonts w:eastAsia="Times New Roman" w:cs="Times New Roman"/>
                <w:color w:val="000000"/>
                <w:sz w:val="20"/>
                <w:szCs w:val="20"/>
              </w:rPr>
              <w:t>4</w:t>
            </w:r>
          </w:p>
        </w:tc>
      </w:tr>
      <w:tr w:rsidR="00876F4F" w:rsidRPr="00533C05" w14:paraId="1EDB5F3B" w14:textId="77777777" w:rsidTr="00F366F4">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E51EB" w14:textId="77777777" w:rsidR="00876F4F" w:rsidRPr="00F366F4" w:rsidRDefault="00876F4F" w:rsidP="00234E0F">
            <w:pPr>
              <w:spacing w:after="0"/>
              <w:jc w:val="right"/>
              <w:rPr>
                <w:color w:val="000000"/>
                <w:sz w:val="20"/>
              </w:rPr>
            </w:pPr>
            <w:r w:rsidRPr="00F366F4">
              <w:rPr>
                <w:color w:val="000000"/>
                <w:sz w:val="20"/>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91C4" w14:textId="77777777" w:rsidR="00876F4F" w:rsidRPr="00F366F4" w:rsidRDefault="00876F4F" w:rsidP="00234E0F">
            <w:pPr>
              <w:spacing w:after="0"/>
              <w:jc w:val="right"/>
              <w:rPr>
                <w:color w:val="000000"/>
                <w:sz w:val="20"/>
              </w:rPr>
            </w:pPr>
            <w:r w:rsidRPr="00F366F4">
              <w:rPr>
                <w:color w:val="000000"/>
                <w:sz w:val="20"/>
              </w:rPr>
              <w:t>0</w:t>
            </w:r>
            <w:r w:rsidRPr="00533C05">
              <w:rPr>
                <w:rFonts w:eastAsia="Times New Roman" w:cs="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ED88" w14:textId="77777777" w:rsidR="00876F4F" w:rsidRPr="00F366F4" w:rsidRDefault="00876F4F" w:rsidP="00234E0F">
            <w:pPr>
              <w:spacing w:after="0"/>
              <w:jc w:val="right"/>
              <w:rPr>
                <w:color w:val="000000"/>
                <w:sz w:val="20"/>
              </w:rPr>
            </w:pPr>
            <w:r w:rsidRPr="00F366F4">
              <w:rPr>
                <w:color w:val="000000"/>
                <w:sz w:val="20"/>
              </w:rPr>
              <w:t>0</w:t>
            </w:r>
            <w:r w:rsidRPr="00533C05">
              <w:rPr>
                <w:rFonts w:eastAsia="Times New Roman" w:cs="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A78BC" w14:textId="77777777" w:rsidR="00876F4F" w:rsidRPr="00F366F4" w:rsidRDefault="00876F4F" w:rsidP="00234E0F">
            <w:pPr>
              <w:spacing w:after="0"/>
              <w:jc w:val="right"/>
              <w:rPr>
                <w:color w:val="000000"/>
                <w:sz w:val="20"/>
              </w:rPr>
            </w:pPr>
            <w:r w:rsidRPr="00F366F4">
              <w:rPr>
                <w:color w:val="000000"/>
                <w:sz w:val="20"/>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6A7BA" w14:textId="4106FCA9" w:rsidR="00876F4F" w:rsidRPr="00F366F4" w:rsidRDefault="00876F4F" w:rsidP="00234E0F">
            <w:pPr>
              <w:spacing w:after="0"/>
              <w:jc w:val="right"/>
              <w:rPr>
                <w:color w:val="000000"/>
                <w:sz w:val="20"/>
              </w:rPr>
            </w:pPr>
            <w:r w:rsidRPr="00F366F4">
              <w:rPr>
                <w:color w:val="000000"/>
                <w:sz w:val="20"/>
              </w:rPr>
              <w:t>0.</w:t>
            </w:r>
            <w:r w:rsidRPr="00533C05">
              <w:rPr>
                <w:rFonts w:eastAsia="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65E8" w14:textId="4417AD78" w:rsidR="00876F4F" w:rsidRPr="00F366F4" w:rsidRDefault="00876F4F" w:rsidP="00234E0F">
            <w:pPr>
              <w:spacing w:after="0"/>
              <w:jc w:val="right"/>
              <w:rPr>
                <w:color w:val="000000"/>
                <w:sz w:val="20"/>
              </w:rPr>
            </w:pPr>
            <w:r w:rsidRPr="00F366F4">
              <w:rPr>
                <w:color w:val="000000"/>
                <w:sz w:val="20"/>
              </w:rPr>
              <w:t>0.</w:t>
            </w:r>
            <w:r w:rsidRPr="00533C05">
              <w:rPr>
                <w:rFonts w:eastAsia="Times New Roman" w:cs="Times New Roman"/>
                <w:color w:val="000000"/>
                <w:sz w:val="20"/>
                <w:szCs w:val="20"/>
              </w:rPr>
              <w:t>3</w:t>
            </w:r>
          </w:p>
        </w:tc>
      </w:tr>
      <w:tr w:rsidR="009253C0" w:rsidRPr="00533C05" w14:paraId="2005565D" w14:textId="77777777" w:rsidTr="00234E0F">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12E20" w14:textId="77777777" w:rsidR="00876F4F" w:rsidRPr="00F366F4" w:rsidRDefault="00876F4F" w:rsidP="00234E0F">
            <w:pPr>
              <w:spacing w:after="0"/>
              <w:jc w:val="right"/>
              <w:rPr>
                <w:color w:val="000000"/>
                <w:sz w:val="20"/>
              </w:rPr>
            </w:pPr>
            <w:r w:rsidRPr="00533C05">
              <w:rPr>
                <w:rFonts w:eastAsia="Times New Roman" w:cs="Times New Roman"/>
                <w:color w:val="000000"/>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7DB5" w14:textId="77777777" w:rsidR="00876F4F" w:rsidRPr="00F366F4" w:rsidRDefault="00876F4F" w:rsidP="00234E0F">
            <w:pPr>
              <w:spacing w:after="0"/>
              <w:jc w:val="right"/>
              <w:rPr>
                <w:color w:val="000000"/>
                <w:sz w:val="20"/>
              </w:rPr>
            </w:pPr>
            <w:r w:rsidRPr="00533C05">
              <w:rPr>
                <w:rFonts w:eastAsia="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5ACD" w14:textId="77777777" w:rsidR="00876F4F" w:rsidRPr="00F366F4" w:rsidRDefault="00876F4F" w:rsidP="00234E0F">
            <w:pPr>
              <w:spacing w:after="0"/>
              <w:jc w:val="right"/>
              <w:rPr>
                <w:color w:val="000000"/>
                <w:sz w:val="20"/>
              </w:rPr>
            </w:pPr>
            <w:r w:rsidRPr="00533C05">
              <w:rPr>
                <w:rFonts w:eastAsia="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A4056" w14:textId="77777777" w:rsidR="00876F4F" w:rsidRPr="00F366F4" w:rsidRDefault="00876F4F" w:rsidP="00234E0F">
            <w:pPr>
              <w:spacing w:after="0"/>
              <w:jc w:val="right"/>
              <w:rPr>
                <w:color w:val="000000"/>
                <w:sz w:val="20"/>
              </w:rPr>
            </w:pPr>
            <w:r w:rsidRPr="00533C05">
              <w:rPr>
                <w:rFonts w:eastAsia="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32996" w14:textId="77777777" w:rsidR="00876F4F" w:rsidRPr="00F366F4" w:rsidRDefault="00876F4F" w:rsidP="00234E0F">
            <w:pPr>
              <w:spacing w:after="0"/>
              <w:jc w:val="right"/>
              <w:rPr>
                <w:color w:val="000000"/>
                <w:sz w:val="20"/>
              </w:rPr>
            </w:pPr>
            <w:r w:rsidRPr="00533C05">
              <w:rPr>
                <w:rFonts w:eastAsia="Times New Roman" w:cs="Times New Roman"/>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F538F" w14:textId="77777777" w:rsidR="00876F4F" w:rsidRPr="00F366F4" w:rsidRDefault="00876F4F" w:rsidP="00234E0F">
            <w:pPr>
              <w:spacing w:after="0"/>
              <w:jc w:val="right"/>
              <w:rPr>
                <w:color w:val="000000"/>
                <w:sz w:val="20"/>
              </w:rPr>
            </w:pPr>
            <w:r w:rsidRPr="00533C05">
              <w:rPr>
                <w:rFonts w:eastAsia="Times New Roman" w:cs="Times New Roman"/>
                <w:color w:val="000000"/>
                <w:sz w:val="20"/>
                <w:szCs w:val="20"/>
              </w:rPr>
              <w:t>0.1</w:t>
            </w:r>
          </w:p>
        </w:tc>
      </w:tr>
      <w:tr w:rsidR="009253C0" w:rsidRPr="00533C05" w14:paraId="509C650B" w14:textId="77777777" w:rsidTr="00234E0F">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7CEF738" w14:textId="5B66B8C6" w:rsidR="00876F4F" w:rsidRPr="00F366F4" w:rsidRDefault="00876F4F" w:rsidP="00F366F4">
            <w:pPr>
              <w:spacing w:after="0"/>
              <w:rPr>
                <w:rFonts w:ascii="Calibri" w:hAnsi="Calibri"/>
                <w:color w:val="000000"/>
                <w:sz w:val="20"/>
                <w:highlight w:val="yellow"/>
              </w:rPr>
            </w:pPr>
            <w:r>
              <w:rPr>
                <w:rFonts w:ascii="Calibri" w:eastAsia="Times New Roman" w:hAnsi="Calibri" w:cs="Times New Roman"/>
                <w:color w:val="000000"/>
                <w:sz w:val="22"/>
                <w:szCs w:val="22"/>
                <w:highlight w:val="yellow"/>
              </w:rPr>
              <w:t>Percentage of people compliant with restrictions</w:t>
            </w:r>
          </w:p>
        </w:tc>
        <w:tc>
          <w:tcPr>
            <w:tcW w:w="99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9EED31F" w14:textId="0ECB5827" w:rsidR="00876F4F" w:rsidRPr="00F366F4" w:rsidRDefault="00876F4F" w:rsidP="00234E0F">
            <w:pPr>
              <w:spacing w:after="0"/>
              <w:jc w:val="right"/>
              <w:rPr>
                <w:rFonts w:ascii="Calibri" w:hAnsi="Calibri"/>
                <w:color w:val="000000"/>
                <w:sz w:val="20"/>
                <w:highlight w:val="yellow"/>
              </w:rPr>
            </w:pPr>
            <w:r w:rsidRPr="00F366F4">
              <w:rPr>
                <w:rFonts w:ascii="Calibri" w:hAnsi="Calibri"/>
                <w:color w:val="000000"/>
                <w:sz w:val="20"/>
                <w:highlight w:val="yellow"/>
              </w:rPr>
              <w:t>99.</w:t>
            </w:r>
            <w:r w:rsidRPr="00533C05">
              <w:rPr>
                <w:rFonts w:ascii="Calibri" w:eastAsia="Times New Roman" w:hAnsi="Calibri" w:cs="Times New Roman"/>
                <w:color w:val="000000"/>
                <w:sz w:val="20"/>
                <w:szCs w:val="20"/>
                <w:highlight w:val="yellow"/>
              </w:rPr>
              <w:t>3</w:t>
            </w:r>
          </w:p>
        </w:tc>
        <w:tc>
          <w:tcPr>
            <w:tcW w:w="113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A261371" w14:textId="2A0189F0" w:rsidR="00876F4F" w:rsidRPr="00F366F4" w:rsidRDefault="00876F4F" w:rsidP="00234E0F">
            <w:pPr>
              <w:spacing w:after="0"/>
              <w:jc w:val="right"/>
              <w:rPr>
                <w:rFonts w:ascii="Calibri" w:hAnsi="Calibri"/>
                <w:color w:val="000000"/>
                <w:sz w:val="20"/>
                <w:highlight w:val="yellow"/>
              </w:rPr>
            </w:pPr>
            <w:r w:rsidRPr="00F366F4">
              <w:rPr>
                <w:rFonts w:ascii="Calibri" w:hAnsi="Calibri"/>
                <w:color w:val="000000"/>
                <w:sz w:val="20"/>
                <w:highlight w:val="yellow"/>
              </w:rPr>
              <w:t>99.</w:t>
            </w:r>
            <w:r w:rsidRPr="00533C05">
              <w:rPr>
                <w:rFonts w:ascii="Calibri" w:eastAsia="Times New Roman" w:hAnsi="Calibri" w:cs="Times New Roman"/>
                <w:color w:val="000000"/>
                <w:sz w:val="20"/>
                <w:szCs w:val="20"/>
                <w:highlight w:val="yellow"/>
              </w:rPr>
              <w:t>2</w:t>
            </w:r>
          </w:p>
        </w:tc>
        <w:tc>
          <w:tcPr>
            <w:tcW w:w="85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1C4C552" w14:textId="181597C1" w:rsidR="00876F4F" w:rsidRPr="00F366F4" w:rsidRDefault="00876F4F" w:rsidP="00234E0F">
            <w:pPr>
              <w:spacing w:after="0"/>
              <w:jc w:val="right"/>
              <w:rPr>
                <w:rFonts w:ascii="Calibri" w:hAnsi="Calibri"/>
                <w:color w:val="000000"/>
                <w:sz w:val="20"/>
                <w:highlight w:val="yellow"/>
              </w:rPr>
            </w:pPr>
            <w:r w:rsidRPr="00F366F4">
              <w:rPr>
                <w:rFonts w:ascii="Calibri" w:hAnsi="Calibri"/>
                <w:color w:val="000000"/>
                <w:sz w:val="20"/>
                <w:highlight w:val="yellow"/>
              </w:rPr>
              <w:t>99</w:t>
            </w:r>
          </w:p>
        </w:tc>
        <w:tc>
          <w:tcPr>
            <w:tcW w:w="99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4D2AA83" w14:textId="0F6B793E" w:rsidR="00876F4F" w:rsidRPr="00F366F4" w:rsidRDefault="00876F4F" w:rsidP="00234E0F">
            <w:pPr>
              <w:spacing w:after="0"/>
              <w:jc w:val="right"/>
              <w:rPr>
                <w:rFonts w:ascii="Calibri" w:hAnsi="Calibri"/>
                <w:color w:val="000000"/>
                <w:sz w:val="20"/>
                <w:highlight w:val="yellow"/>
              </w:rPr>
            </w:pPr>
            <w:r w:rsidRPr="00533C05">
              <w:rPr>
                <w:rFonts w:ascii="Calibri" w:eastAsia="Times New Roman" w:hAnsi="Calibri" w:cs="Times New Roman"/>
                <w:color w:val="000000"/>
                <w:sz w:val="20"/>
                <w:szCs w:val="20"/>
                <w:highlight w:val="yellow"/>
              </w:rPr>
              <w:t>98.4</w:t>
            </w:r>
          </w:p>
        </w:tc>
        <w:tc>
          <w:tcPr>
            <w:tcW w:w="99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0E447A0" w14:textId="291706DB" w:rsidR="00876F4F" w:rsidRPr="00F366F4" w:rsidRDefault="00876F4F" w:rsidP="00234E0F">
            <w:pPr>
              <w:spacing w:after="0"/>
              <w:jc w:val="right"/>
              <w:rPr>
                <w:rFonts w:ascii="Calibri" w:hAnsi="Calibri"/>
                <w:color w:val="000000"/>
                <w:sz w:val="20"/>
                <w:highlight w:val="yellow"/>
              </w:rPr>
            </w:pPr>
            <w:r w:rsidRPr="00533C05">
              <w:rPr>
                <w:rFonts w:ascii="Calibri" w:eastAsia="Times New Roman" w:hAnsi="Calibri" w:cs="Times New Roman"/>
                <w:color w:val="000000"/>
                <w:sz w:val="20"/>
                <w:szCs w:val="20"/>
                <w:highlight w:val="yellow"/>
              </w:rPr>
              <w:t>98</w:t>
            </w:r>
          </w:p>
        </w:tc>
      </w:tr>
    </w:tbl>
    <w:p w14:paraId="1ADD3F60" w14:textId="77777777" w:rsidR="00876F4F" w:rsidRPr="00592686" w:rsidRDefault="00876F4F" w:rsidP="00876F4F">
      <w:pPr>
        <w:spacing w:after="0"/>
        <w:rPr>
          <w:i/>
          <w:iCs/>
          <w:sz w:val="22"/>
          <w:szCs w:val="22"/>
        </w:rPr>
      </w:pPr>
      <w:r w:rsidRPr="00592686">
        <w:rPr>
          <w:i/>
          <w:iCs/>
          <w:sz w:val="22"/>
          <w:szCs w:val="22"/>
        </w:rPr>
        <w:t xml:space="preserve">Note: Varenicline starter pack is with coverage of 4 weeks, no repeats allowed; </w:t>
      </w:r>
    </w:p>
    <w:p w14:paraId="34D505CA" w14:textId="77777777" w:rsidR="00876F4F" w:rsidRPr="00592686" w:rsidRDefault="00876F4F" w:rsidP="00876F4F">
      <w:pPr>
        <w:spacing w:after="0"/>
        <w:rPr>
          <w:i/>
          <w:iCs/>
          <w:sz w:val="22"/>
          <w:szCs w:val="22"/>
        </w:rPr>
      </w:pPr>
      <w:r w:rsidRPr="00592686">
        <w:rPr>
          <w:i/>
          <w:iCs/>
          <w:sz w:val="22"/>
          <w:szCs w:val="22"/>
        </w:rPr>
        <w:t xml:space="preserve">           Varenicline continuation pack is with coverage of 8 weeks, no repeats allowed;</w:t>
      </w:r>
    </w:p>
    <w:p w14:paraId="6B4BEDE6" w14:textId="77777777" w:rsidR="00876F4F" w:rsidRPr="00592686" w:rsidRDefault="00876F4F" w:rsidP="00876F4F">
      <w:pPr>
        <w:spacing w:after="0"/>
        <w:rPr>
          <w:i/>
          <w:iCs/>
          <w:sz w:val="22"/>
          <w:szCs w:val="22"/>
        </w:rPr>
      </w:pPr>
      <w:r w:rsidRPr="00592686">
        <w:rPr>
          <w:i/>
          <w:iCs/>
          <w:sz w:val="22"/>
          <w:szCs w:val="22"/>
        </w:rPr>
        <w:t xml:space="preserve">           Varenicline completion pack is with coverage of 4 weeks, 2 repeats allowed</w:t>
      </w:r>
    </w:p>
    <w:p w14:paraId="5AF27063" w14:textId="77777777" w:rsidR="00876F4F" w:rsidRDefault="00876F4F" w:rsidP="00876F4F">
      <w:pPr>
        <w:rPr>
          <w:b/>
          <w:bCs/>
        </w:rPr>
      </w:pPr>
    </w:p>
    <w:p w14:paraId="21CE6C18" w14:textId="77777777" w:rsidR="00876F4F" w:rsidRDefault="00876F4F" w:rsidP="00876F4F">
      <w:pPr>
        <w:spacing w:after="0"/>
        <w:rPr>
          <w:b/>
          <w:bCs/>
        </w:rPr>
      </w:pPr>
      <w:r>
        <w:rPr>
          <w:b/>
          <w:bCs/>
        </w:rPr>
        <w:br w:type="page"/>
      </w:r>
    </w:p>
    <w:p w14:paraId="07159E4D" w14:textId="77777777" w:rsidR="00876F4F" w:rsidRPr="00592686" w:rsidRDefault="00876F4F" w:rsidP="00876F4F">
      <w:pPr>
        <w:rPr>
          <w:b/>
          <w:bCs/>
        </w:rPr>
      </w:pPr>
      <w:r w:rsidRPr="00592686">
        <w:rPr>
          <w:b/>
          <w:bCs/>
        </w:rPr>
        <w:t>Bupropion therapy</w:t>
      </w:r>
      <w:r>
        <w:rPr>
          <w:b/>
          <w:bCs/>
        </w:rPr>
        <w:t xml:space="preserve"> </w:t>
      </w:r>
      <w:r>
        <w:rPr>
          <w:rFonts w:cstheme="minorHAnsi"/>
          <w:b/>
          <w:bCs/>
        </w:rPr>
        <w:t>consistency with restrictions</w:t>
      </w:r>
    </w:p>
    <w:p w14:paraId="6366B1AF" w14:textId="736ED666" w:rsidR="00876F4F" w:rsidRDefault="00876F4F" w:rsidP="00876F4F">
      <w:pPr>
        <w:rPr>
          <w:rFonts w:cstheme="minorHAnsi"/>
        </w:rPr>
      </w:pPr>
      <w:r>
        <w:rPr>
          <w:rFonts w:cstheme="minorHAnsi"/>
        </w:rPr>
        <w:t>Table 11 shows that the compliance with the restriction requirement of a maximum 9 weeks supply of PBS subsidised bupropion was 90.8% in financial 2018/2019.</w:t>
      </w:r>
    </w:p>
    <w:p w14:paraId="75BB6BE0" w14:textId="245A624D" w:rsidR="00876F4F" w:rsidRDefault="00876F4F" w:rsidP="00876F4F">
      <w:r w:rsidRPr="00AE5790">
        <w:rPr>
          <w:b/>
          <w:bCs/>
        </w:rPr>
        <w:t xml:space="preserve">Table </w:t>
      </w:r>
      <w:r>
        <w:rPr>
          <w:b/>
          <w:bCs/>
        </w:rPr>
        <w:t>11</w:t>
      </w:r>
      <w:r w:rsidRPr="00AE5790">
        <w:rPr>
          <w:b/>
          <w:bCs/>
        </w:rPr>
        <w:t>.</w:t>
      </w:r>
      <w:r>
        <w:t xml:space="preserve"> Percentage of people receiving their first ever PBS subsidised therapy with bupropion by year of initiation and duration of therapy (people have been excluded if patient category was repatriation or closing the gap)</w:t>
      </w:r>
    </w:p>
    <w:tbl>
      <w:tblPr>
        <w:tblW w:w="7083" w:type="dxa"/>
        <w:tblLook w:val="04A0" w:firstRow="1" w:lastRow="0" w:firstColumn="1" w:lastColumn="0" w:noHBand="0" w:noVBand="1"/>
      </w:tblPr>
      <w:tblGrid>
        <w:gridCol w:w="2122"/>
        <w:gridCol w:w="1194"/>
        <w:gridCol w:w="1194"/>
        <w:gridCol w:w="1194"/>
        <w:gridCol w:w="1194"/>
        <w:gridCol w:w="1194"/>
      </w:tblGrid>
      <w:tr w:rsidR="009253C0" w:rsidRPr="009234D6" w14:paraId="171AD223" w14:textId="77777777" w:rsidTr="00234E0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66065" w14:textId="77777777" w:rsidR="00876F4F" w:rsidRPr="009234D6" w:rsidRDefault="00876F4F" w:rsidP="00234E0F">
            <w:pPr>
              <w:spacing w:after="0"/>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Weeks of coverage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4CCB73" w14:textId="77777777"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2014/</w:t>
            </w:r>
            <w:r w:rsidRPr="009234D6">
              <w:rPr>
                <w:rFonts w:ascii="Calibri" w:eastAsia="Times New Roman" w:hAnsi="Calibri" w:cs="Times New Roman"/>
                <w:color w:val="000000"/>
                <w:sz w:val="22"/>
                <w:szCs w:val="22"/>
              </w:rPr>
              <w:t>2015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25BC90" w14:textId="77777777"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2015/</w:t>
            </w:r>
            <w:r w:rsidRPr="009234D6">
              <w:rPr>
                <w:rFonts w:ascii="Calibri" w:eastAsia="Times New Roman" w:hAnsi="Calibri" w:cs="Times New Roman"/>
                <w:color w:val="000000"/>
                <w:sz w:val="22"/>
                <w:szCs w:val="22"/>
              </w:rPr>
              <w:t>2016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8BFCC96" w14:textId="77777777"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2016/</w:t>
            </w:r>
            <w:r w:rsidRPr="009234D6">
              <w:rPr>
                <w:rFonts w:ascii="Calibri" w:eastAsia="Times New Roman" w:hAnsi="Calibri" w:cs="Times New Roman"/>
                <w:color w:val="000000"/>
                <w:sz w:val="22"/>
                <w:szCs w:val="22"/>
              </w:rPr>
              <w:t>2017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185C1A" w14:textId="77777777"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2017/</w:t>
            </w:r>
            <w:r w:rsidRPr="009234D6">
              <w:rPr>
                <w:rFonts w:ascii="Calibri" w:eastAsia="Times New Roman" w:hAnsi="Calibri" w:cs="Times New Roman"/>
                <w:color w:val="000000"/>
                <w:sz w:val="22"/>
                <w:szCs w:val="22"/>
              </w:rPr>
              <w:t>2018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E922179" w14:textId="77777777"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2018/</w:t>
            </w:r>
            <w:r w:rsidRPr="009234D6">
              <w:rPr>
                <w:rFonts w:ascii="Calibri" w:eastAsia="Times New Roman" w:hAnsi="Calibri" w:cs="Times New Roman"/>
                <w:color w:val="000000"/>
                <w:sz w:val="22"/>
                <w:szCs w:val="22"/>
              </w:rPr>
              <w:t>2019</w:t>
            </w:r>
          </w:p>
        </w:tc>
      </w:tr>
      <w:tr w:rsidR="00876F4F" w:rsidRPr="009234D6" w14:paraId="5EF5D556" w14:textId="77777777" w:rsidTr="00234E0F">
        <w:trPr>
          <w:trHeight w:val="300"/>
        </w:trPr>
        <w:tc>
          <w:tcPr>
            <w:tcW w:w="2122" w:type="dxa"/>
            <w:tcBorders>
              <w:top w:val="nil"/>
              <w:left w:val="single" w:sz="4" w:space="0" w:color="auto"/>
              <w:bottom w:val="single" w:sz="4" w:space="0" w:color="auto"/>
              <w:right w:val="single" w:sz="4" w:space="0" w:color="auto"/>
            </w:tcBorders>
            <w:shd w:val="clear" w:color="000000" w:fill="FFFF00"/>
            <w:noWrap/>
            <w:vAlign w:val="bottom"/>
            <w:hideMark/>
          </w:tcPr>
          <w:p w14:paraId="7AFC3E83"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p>
        </w:tc>
        <w:tc>
          <w:tcPr>
            <w:tcW w:w="850" w:type="dxa"/>
            <w:tcBorders>
              <w:top w:val="nil"/>
              <w:left w:val="nil"/>
              <w:bottom w:val="single" w:sz="4" w:space="0" w:color="auto"/>
              <w:right w:val="single" w:sz="4" w:space="0" w:color="auto"/>
            </w:tcBorders>
            <w:shd w:val="clear" w:color="000000" w:fill="FFFF00"/>
            <w:noWrap/>
            <w:vAlign w:val="bottom"/>
            <w:hideMark/>
          </w:tcPr>
          <w:p w14:paraId="39F71177"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5</w:t>
            </w:r>
            <w:r>
              <w:rPr>
                <w:rFonts w:ascii="Calibri" w:eastAsia="Times New Roman" w:hAnsi="Calibri" w:cs="Times New Roman"/>
                <w:color w:val="000000"/>
                <w:sz w:val="22"/>
                <w:szCs w:val="22"/>
              </w:rPr>
              <w:t>2</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7</w:t>
            </w:r>
          </w:p>
        </w:tc>
        <w:tc>
          <w:tcPr>
            <w:tcW w:w="992" w:type="dxa"/>
            <w:tcBorders>
              <w:top w:val="nil"/>
              <w:left w:val="nil"/>
              <w:bottom w:val="single" w:sz="4" w:space="0" w:color="auto"/>
              <w:right w:val="single" w:sz="4" w:space="0" w:color="auto"/>
            </w:tcBorders>
            <w:shd w:val="clear" w:color="000000" w:fill="FFFF00"/>
            <w:noWrap/>
            <w:vAlign w:val="bottom"/>
            <w:hideMark/>
          </w:tcPr>
          <w:p w14:paraId="5665CF08"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r>
              <w:rPr>
                <w:rFonts w:ascii="Calibri" w:eastAsia="Times New Roman" w:hAnsi="Calibri" w:cs="Times New Roman"/>
                <w:color w:val="000000"/>
                <w:sz w:val="22"/>
                <w:szCs w:val="22"/>
              </w:rPr>
              <w:t>6.8</w:t>
            </w:r>
          </w:p>
        </w:tc>
        <w:tc>
          <w:tcPr>
            <w:tcW w:w="993" w:type="dxa"/>
            <w:tcBorders>
              <w:top w:val="nil"/>
              <w:left w:val="nil"/>
              <w:bottom w:val="single" w:sz="4" w:space="0" w:color="auto"/>
              <w:right w:val="single" w:sz="4" w:space="0" w:color="auto"/>
            </w:tcBorders>
            <w:shd w:val="clear" w:color="000000" w:fill="FFFF00"/>
            <w:noWrap/>
            <w:vAlign w:val="bottom"/>
            <w:hideMark/>
          </w:tcPr>
          <w:p w14:paraId="1AC446B7"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r>
              <w:rPr>
                <w:rFonts w:ascii="Calibri" w:eastAsia="Times New Roman" w:hAnsi="Calibri" w:cs="Times New Roman"/>
                <w:color w:val="000000"/>
                <w:sz w:val="22"/>
                <w:szCs w:val="22"/>
              </w:rPr>
              <w:t>4</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00"/>
            <w:noWrap/>
            <w:vAlign w:val="bottom"/>
            <w:hideMark/>
          </w:tcPr>
          <w:p w14:paraId="76D9A807"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r>
              <w:rPr>
                <w:rFonts w:ascii="Calibri" w:eastAsia="Times New Roman" w:hAnsi="Calibri" w:cs="Times New Roman"/>
                <w:color w:val="000000"/>
                <w:sz w:val="22"/>
                <w:szCs w:val="22"/>
              </w:rPr>
              <w:t>3</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4</w:t>
            </w:r>
          </w:p>
        </w:tc>
        <w:tc>
          <w:tcPr>
            <w:tcW w:w="1134" w:type="dxa"/>
            <w:tcBorders>
              <w:top w:val="nil"/>
              <w:left w:val="nil"/>
              <w:bottom w:val="single" w:sz="4" w:space="0" w:color="auto"/>
              <w:right w:val="single" w:sz="4" w:space="0" w:color="auto"/>
            </w:tcBorders>
            <w:shd w:val="clear" w:color="000000" w:fill="FFFF00"/>
            <w:noWrap/>
            <w:vAlign w:val="bottom"/>
            <w:hideMark/>
          </w:tcPr>
          <w:p w14:paraId="171014AC"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r>
              <w:rPr>
                <w:rFonts w:ascii="Calibri" w:eastAsia="Times New Roman" w:hAnsi="Calibri" w:cs="Times New Roman"/>
                <w:color w:val="000000"/>
                <w:sz w:val="22"/>
                <w:szCs w:val="22"/>
              </w:rPr>
              <w:t>4</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9</w:t>
            </w:r>
          </w:p>
        </w:tc>
      </w:tr>
      <w:tr w:rsidR="009253C0" w:rsidRPr="009234D6" w14:paraId="55D26C98" w14:textId="77777777" w:rsidTr="00234E0F">
        <w:trPr>
          <w:trHeight w:val="300"/>
        </w:trPr>
        <w:tc>
          <w:tcPr>
            <w:tcW w:w="2122" w:type="dxa"/>
            <w:tcBorders>
              <w:top w:val="nil"/>
              <w:left w:val="single" w:sz="4" w:space="0" w:color="auto"/>
              <w:bottom w:val="single" w:sz="4" w:space="0" w:color="auto"/>
              <w:right w:val="single" w:sz="4" w:space="0" w:color="auto"/>
            </w:tcBorders>
            <w:shd w:val="clear" w:color="000000" w:fill="FFFF00"/>
            <w:noWrap/>
            <w:vAlign w:val="bottom"/>
            <w:hideMark/>
          </w:tcPr>
          <w:p w14:paraId="18062FB1"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40605EE9" w14:textId="3A79E1DD"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2.1</w:t>
            </w:r>
          </w:p>
        </w:tc>
        <w:tc>
          <w:tcPr>
            <w:tcW w:w="992" w:type="dxa"/>
            <w:tcBorders>
              <w:top w:val="nil"/>
              <w:left w:val="nil"/>
              <w:bottom w:val="single" w:sz="4" w:space="0" w:color="auto"/>
              <w:right w:val="single" w:sz="4" w:space="0" w:color="auto"/>
            </w:tcBorders>
            <w:shd w:val="clear" w:color="000000" w:fill="FFFF00"/>
            <w:noWrap/>
            <w:vAlign w:val="bottom"/>
            <w:hideMark/>
          </w:tcPr>
          <w:p w14:paraId="4C25E0AB" w14:textId="70DAB678"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7</w:t>
            </w:r>
          </w:p>
        </w:tc>
        <w:tc>
          <w:tcPr>
            <w:tcW w:w="993" w:type="dxa"/>
            <w:tcBorders>
              <w:top w:val="nil"/>
              <w:left w:val="nil"/>
              <w:bottom w:val="single" w:sz="4" w:space="0" w:color="auto"/>
              <w:right w:val="single" w:sz="4" w:space="0" w:color="auto"/>
            </w:tcBorders>
            <w:shd w:val="clear" w:color="000000" w:fill="FFFF00"/>
            <w:noWrap/>
            <w:vAlign w:val="bottom"/>
            <w:hideMark/>
          </w:tcPr>
          <w:p w14:paraId="6428D9A9" w14:textId="11971BF9"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r>
              <w:rPr>
                <w:rFonts w:ascii="Calibri" w:eastAsia="Times New Roman" w:hAnsi="Calibri" w:cs="Times New Roman"/>
                <w:color w:val="000000"/>
                <w:sz w:val="22"/>
                <w:szCs w:val="22"/>
              </w:rPr>
              <w:t>7</w:t>
            </w:r>
          </w:p>
        </w:tc>
        <w:tc>
          <w:tcPr>
            <w:tcW w:w="992" w:type="dxa"/>
            <w:tcBorders>
              <w:top w:val="nil"/>
              <w:left w:val="nil"/>
              <w:bottom w:val="single" w:sz="4" w:space="0" w:color="auto"/>
              <w:right w:val="single" w:sz="4" w:space="0" w:color="auto"/>
            </w:tcBorders>
            <w:shd w:val="clear" w:color="000000" w:fill="FFFF00"/>
            <w:noWrap/>
            <w:vAlign w:val="bottom"/>
            <w:hideMark/>
          </w:tcPr>
          <w:p w14:paraId="0E33048F" w14:textId="6D18D50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3.</w:t>
            </w:r>
            <w:r>
              <w:rPr>
                <w:rFonts w:ascii="Calibri" w:eastAsia="Times New Roman" w:hAnsi="Calibri" w:cs="Times New Roman"/>
                <w:color w:val="000000"/>
                <w:sz w:val="22"/>
                <w:szCs w:val="22"/>
              </w:rPr>
              <w:t>5</w:t>
            </w:r>
          </w:p>
        </w:tc>
        <w:tc>
          <w:tcPr>
            <w:tcW w:w="1134" w:type="dxa"/>
            <w:tcBorders>
              <w:top w:val="nil"/>
              <w:left w:val="nil"/>
              <w:bottom w:val="single" w:sz="4" w:space="0" w:color="auto"/>
              <w:right w:val="single" w:sz="4" w:space="0" w:color="auto"/>
            </w:tcBorders>
            <w:shd w:val="clear" w:color="000000" w:fill="FFFF00"/>
            <w:noWrap/>
            <w:vAlign w:val="bottom"/>
            <w:hideMark/>
          </w:tcPr>
          <w:p w14:paraId="5642A575" w14:textId="6CB168DF"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w:t>
            </w:r>
          </w:p>
        </w:tc>
      </w:tr>
      <w:tr w:rsidR="00876F4F" w:rsidRPr="009234D6" w14:paraId="5F8BCEB5" w14:textId="77777777" w:rsidTr="00234E0F">
        <w:trPr>
          <w:trHeight w:val="300"/>
        </w:trPr>
        <w:tc>
          <w:tcPr>
            <w:tcW w:w="2122" w:type="dxa"/>
            <w:tcBorders>
              <w:top w:val="nil"/>
              <w:left w:val="single" w:sz="4" w:space="0" w:color="auto"/>
              <w:bottom w:val="single" w:sz="4" w:space="0" w:color="auto"/>
              <w:right w:val="single" w:sz="4" w:space="0" w:color="auto"/>
            </w:tcBorders>
            <w:shd w:val="clear" w:color="000000" w:fill="FFFF00"/>
            <w:noWrap/>
            <w:vAlign w:val="bottom"/>
            <w:hideMark/>
          </w:tcPr>
          <w:p w14:paraId="049CDD10"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6</w:t>
            </w:r>
          </w:p>
        </w:tc>
        <w:tc>
          <w:tcPr>
            <w:tcW w:w="850" w:type="dxa"/>
            <w:tcBorders>
              <w:top w:val="nil"/>
              <w:left w:val="nil"/>
              <w:bottom w:val="single" w:sz="4" w:space="0" w:color="auto"/>
              <w:right w:val="single" w:sz="4" w:space="0" w:color="auto"/>
            </w:tcBorders>
            <w:shd w:val="clear" w:color="000000" w:fill="FFFF00"/>
            <w:noWrap/>
            <w:vAlign w:val="bottom"/>
            <w:hideMark/>
          </w:tcPr>
          <w:p w14:paraId="10D95A20"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3.</w:t>
            </w:r>
            <w:r>
              <w:rPr>
                <w:rFonts w:ascii="Calibri" w:eastAsia="Times New Roman" w:hAnsi="Calibri" w:cs="Times New Roman"/>
                <w:color w:val="000000"/>
                <w:sz w:val="22"/>
                <w:szCs w:val="22"/>
              </w:rPr>
              <w:t>5</w:t>
            </w:r>
          </w:p>
        </w:tc>
        <w:tc>
          <w:tcPr>
            <w:tcW w:w="992" w:type="dxa"/>
            <w:tcBorders>
              <w:top w:val="nil"/>
              <w:left w:val="nil"/>
              <w:bottom w:val="single" w:sz="4" w:space="0" w:color="auto"/>
              <w:right w:val="single" w:sz="4" w:space="0" w:color="auto"/>
            </w:tcBorders>
            <w:shd w:val="clear" w:color="000000" w:fill="FFFF00"/>
            <w:noWrap/>
            <w:vAlign w:val="bottom"/>
            <w:hideMark/>
          </w:tcPr>
          <w:p w14:paraId="7D6330A6"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w:t>
            </w:r>
            <w:r>
              <w:rPr>
                <w:rFonts w:ascii="Calibri" w:eastAsia="Times New Roman" w:hAnsi="Calibri" w:cs="Times New Roman"/>
                <w:color w:val="000000"/>
                <w:sz w:val="22"/>
                <w:szCs w:val="22"/>
              </w:rPr>
              <w:t>0</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7</w:t>
            </w:r>
          </w:p>
        </w:tc>
        <w:tc>
          <w:tcPr>
            <w:tcW w:w="993" w:type="dxa"/>
            <w:tcBorders>
              <w:top w:val="nil"/>
              <w:left w:val="nil"/>
              <w:bottom w:val="single" w:sz="4" w:space="0" w:color="auto"/>
              <w:right w:val="single" w:sz="4" w:space="0" w:color="auto"/>
            </w:tcBorders>
            <w:shd w:val="clear" w:color="000000" w:fill="FFFF00"/>
            <w:noWrap/>
            <w:vAlign w:val="bottom"/>
            <w:hideMark/>
          </w:tcPr>
          <w:p w14:paraId="614E44E4"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w:t>
            </w:r>
            <w:r>
              <w:rPr>
                <w:rFonts w:ascii="Calibri" w:eastAsia="Times New Roman" w:hAnsi="Calibri" w:cs="Times New Roman"/>
                <w:color w:val="000000"/>
                <w:sz w:val="22"/>
                <w:szCs w:val="22"/>
              </w:rPr>
              <w:t>7.1</w:t>
            </w:r>
          </w:p>
        </w:tc>
        <w:tc>
          <w:tcPr>
            <w:tcW w:w="992" w:type="dxa"/>
            <w:tcBorders>
              <w:top w:val="nil"/>
              <w:left w:val="nil"/>
              <w:bottom w:val="single" w:sz="4" w:space="0" w:color="auto"/>
              <w:right w:val="single" w:sz="4" w:space="0" w:color="auto"/>
            </w:tcBorders>
            <w:shd w:val="clear" w:color="000000" w:fill="FFFF00"/>
            <w:noWrap/>
            <w:vAlign w:val="bottom"/>
            <w:hideMark/>
          </w:tcPr>
          <w:p w14:paraId="12B5D0F2" w14:textId="77777777"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19.3</w:t>
            </w:r>
          </w:p>
        </w:tc>
        <w:tc>
          <w:tcPr>
            <w:tcW w:w="1134" w:type="dxa"/>
            <w:tcBorders>
              <w:top w:val="nil"/>
              <w:left w:val="nil"/>
              <w:bottom w:val="single" w:sz="4" w:space="0" w:color="auto"/>
              <w:right w:val="single" w:sz="4" w:space="0" w:color="auto"/>
            </w:tcBorders>
            <w:shd w:val="clear" w:color="000000" w:fill="FFFF00"/>
            <w:noWrap/>
            <w:vAlign w:val="bottom"/>
            <w:hideMark/>
          </w:tcPr>
          <w:p w14:paraId="641D9FE4"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2</w:t>
            </w:r>
          </w:p>
        </w:tc>
      </w:tr>
      <w:tr w:rsidR="00876F4F" w:rsidRPr="009234D6" w14:paraId="1B46D235" w14:textId="77777777" w:rsidTr="00234E0F">
        <w:trPr>
          <w:trHeight w:val="300"/>
        </w:trPr>
        <w:tc>
          <w:tcPr>
            <w:tcW w:w="2122" w:type="dxa"/>
            <w:tcBorders>
              <w:top w:val="nil"/>
              <w:left w:val="single" w:sz="4" w:space="0" w:color="auto"/>
              <w:bottom w:val="single" w:sz="4" w:space="0" w:color="auto"/>
              <w:right w:val="single" w:sz="4" w:space="0" w:color="auto"/>
            </w:tcBorders>
            <w:shd w:val="clear" w:color="000000" w:fill="FFFF00"/>
            <w:noWrap/>
            <w:vAlign w:val="bottom"/>
            <w:hideMark/>
          </w:tcPr>
          <w:p w14:paraId="1185F0A4"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8</w:t>
            </w:r>
          </w:p>
        </w:tc>
        <w:tc>
          <w:tcPr>
            <w:tcW w:w="850" w:type="dxa"/>
            <w:tcBorders>
              <w:top w:val="nil"/>
              <w:left w:val="nil"/>
              <w:bottom w:val="single" w:sz="4" w:space="0" w:color="auto"/>
              <w:right w:val="single" w:sz="4" w:space="0" w:color="auto"/>
            </w:tcBorders>
            <w:shd w:val="clear" w:color="000000" w:fill="FFFF00"/>
            <w:noWrap/>
            <w:vAlign w:val="bottom"/>
            <w:hideMark/>
          </w:tcPr>
          <w:p w14:paraId="5A6D72DB"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3</w:t>
            </w:r>
            <w:r>
              <w:rPr>
                <w:rFonts w:ascii="Calibri" w:eastAsia="Times New Roman" w:hAnsi="Calibri" w:cs="Times New Roman"/>
                <w:color w:val="000000"/>
                <w:sz w:val="22"/>
                <w:szCs w:val="22"/>
              </w:rPr>
              <w:t>4.4</w:t>
            </w:r>
          </w:p>
        </w:tc>
        <w:tc>
          <w:tcPr>
            <w:tcW w:w="992" w:type="dxa"/>
            <w:tcBorders>
              <w:top w:val="nil"/>
              <w:left w:val="nil"/>
              <w:bottom w:val="single" w:sz="4" w:space="0" w:color="auto"/>
              <w:right w:val="single" w:sz="4" w:space="0" w:color="auto"/>
            </w:tcBorders>
            <w:shd w:val="clear" w:color="000000" w:fill="FFFF00"/>
            <w:noWrap/>
            <w:vAlign w:val="bottom"/>
            <w:hideMark/>
          </w:tcPr>
          <w:p w14:paraId="33DC2D00" w14:textId="77777777"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29.7</w:t>
            </w:r>
          </w:p>
        </w:tc>
        <w:tc>
          <w:tcPr>
            <w:tcW w:w="993" w:type="dxa"/>
            <w:tcBorders>
              <w:top w:val="nil"/>
              <w:left w:val="nil"/>
              <w:bottom w:val="single" w:sz="4" w:space="0" w:color="auto"/>
              <w:right w:val="single" w:sz="4" w:space="0" w:color="auto"/>
            </w:tcBorders>
            <w:shd w:val="clear" w:color="000000" w:fill="FFFF00"/>
            <w:noWrap/>
            <w:vAlign w:val="bottom"/>
            <w:hideMark/>
          </w:tcPr>
          <w:p w14:paraId="20B732FE"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4</w:t>
            </w:r>
          </w:p>
        </w:tc>
        <w:tc>
          <w:tcPr>
            <w:tcW w:w="992" w:type="dxa"/>
            <w:tcBorders>
              <w:top w:val="nil"/>
              <w:left w:val="nil"/>
              <w:bottom w:val="single" w:sz="4" w:space="0" w:color="auto"/>
              <w:right w:val="single" w:sz="4" w:space="0" w:color="auto"/>
            </w:tcBorders>
            <w:shd w:val="clear" w:color="000000" w:fill="FFFF00"/>
            <w:noWrap/>
            <w:vAlign w:val="bottom"/>
            <w:hideMark/>
          </w:tcPr>
          <w:p w14:paraId="2F2BF385"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21</w:t>
            </w:r>
          </w:p>
        </w:tc>
        <w:tc>
          <w:tcPr>
            <w:tcW w:w="1134" w:type="dxa"/>
            <w:tcBorders>
              <w:top w:val="nil"/>
              <w:left w:val="nil"/>
              <w:bottom w:val="single" w:sz="4" w:space="0" w:color="auto"/>
              <w:right w:val="single" w:sz="4" w:space="0" w:color="auto"/>
            </w:tcBorders>
            <w:shd w:val="clear" w:color="000000" w:fill="FFFF00"/>
            <w:noWrap/>
            <w:vAlign w:val="bottom"/>
            <w:hideMark/>
          </w:tcPr>
          <w:p w14:paraId="442A0677"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w:t>
            </w:r>
            <w:r>
              <w:rPr>
                <w:rFonts w:ascii="Calibri" w:eastAsia="Times New Roman" w:hAnsi="Calibri" w:cs="Times New Roman"/>
                <w:color w:val="000000"/>
                <w:sz w:val="22"/>
                <w:szCs w:val="22"/>
              </w:rPr>
              <w:t>9.9</w:t>
            </w:r>
          </w:p>
        </w:tc>
      </w:tr>
      <w:tr w:rsidR="009253C0" w:rsidRPr="009234D6" w14:paraId="38A4D6E4" w14:textId="77777777" w:rsidTr="00234E0F">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06FAFFF8" w14:textId="6D11329D"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10</w:t>
            </w:r>
          </w:p>
        </w:tc>
        <w:tc>
          <w:tcPr>
            <w:tcW w:w="850" w:type="dxa"/>
            <w:tcBorders>
              <w:top w:val="nil"/>
              <w:left w:val="nil"/>
              <w:bottom w:val="single" w:sz="4" w:space="0" w:color="auto"/>
              <w:right w:val="single" w:sz="4" w:space="0" w:color="auto"/>
            </w:tcBorders>
            <w:shd w:val="clear" w:color="000000" w:fill="FFFFFF"/>
            <w:noWrap/>
            <w:vAlign w:val="bottom"/>
            <w:hideMark/>
          </w:tcPr>
          <w:p w14:paraId="663A6FDC" w14:textId="47CF97C3"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w:t>
            </w:r>
            <w:r>
              <w:rPr>
                <w:rFonts w:ascii="Calibri" w:eastAsia="Times New Roman" w:hAnsi="Calibri" w:cs="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FF"/>
            <w:noWrap/>
            <w:vAlign w:val="bottom"/>
            <w:hideMark/>
          </w:tcPr>
          <w:p w14:paraId="6AE22F8C" w14:textId="01FDEEE2"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5</w:t>
            </w:r>
          </w:p>
        </w:tc>
        <w:tc>
          <w:tcPr>
            <w:tcW w:w="993" w:type="dxa"/>
            <w:tcBorders>
              <w:top w:val="nil"/>
              <w:left w:val="nil"/>
              <w:bottom w:val="single" w:sz="4" w:space="0" w:color="auto"/>
              <w:right w:val="single" w:sz="4" w:space="0" w:color="auto"/>
            </w:tcBorders>
            <w:shd w:val="clear" w:color="000000" w:fill="FFFFFF"/>
            <w:noWrap/>
            <w:vAlign w:val="bottom"/>
            <w:hideMark/>
          </w:tcPr>
          <w:p w14:paraId="02470BE5" w14:textId="05C1FBD1"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FF"/>
            <w:noWrap/>
            <w:vAlign w:val="bottom"/>
            <w:hideMark/>
          </w:tcPr>
          <w:p w14:paraId="7A9FF162" w14:textId="7DE63EBE"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64FC2859" w14:textId="0501EA3E"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w:t>
            </w:r>
            <w:r>
              <w:rPr>
                <w:rFonts w:ascii="Calibri" w:eastAsia="Times New Roman" w:hAnsi="Calibri" w:cs="Times New Roman"/>
                <w:color w:val="000000"/>
                <w:sz w:val="22"/>
                <w:szCs w:val="22"/>
              </w:rPr>
              <w:t>7</w:t>
            </w:r>
          </w:p>
        </w:tc>
      </w:tr>
      <w:tr w:rsidR="009253C0" w:rsidRPr="009234D6" w14:paraId="2D63CF7D" w14:textId="77777777" w:rsidTr="00234E0F">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26D4CCA2"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4CBB3A98" w14:textId="3583EE04"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5</w:t>
            </w:r>
          </w:p>
        </w:tc>
        <w:tc>
          <w:tcPr>
            <w:tcW w:w="992" w:type="dxa"/>
            <w:tcBorders>
              <w:top w:val="nil"/>
              <w:left w:val="nil"/>
              <w:bottom w:val="single" w:sz="4" w:space="0" w:color="auto"/>
              <w:right w:val="single" w:sz="4" w:space="0" w:color="auto"/>
            </w:tcBorders>
            <w:shd w:val="clear" w:color="000000" w:fill="FFFFFF"/>
            <w:noWrap/>
            <w:vAlign w:val="bottom"/>
            <w:hideMark/>
          </w:tcPr>
          <w:p w14:paraId="45C3A798" w14:textId="214EF0B6"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7</w:t>
            </w:r>
          </w:p>
        </w:tc>
        <w:tc>
          <w:tcPr>
            <w:tcW w:w="993" w:type="dxa"/>
            <w:tcBorders>
              <w:top w:val="nil"/>
              <w:left w:val="nil"/>
              <w:bottom w:val="single" w:sz="4" w:space="0" w:color="auto"/>
              <w:right w:val="single" w:sz="4" w:space="0" w:color="auto"/>
            </w:tcBorders>
            <w:shd w:val="clear" w:color="000000" w:fill="FFFFFF"/>
            <w:noWrap/>
            <w:vAlign w:val="bottom"/>
            <w:hideMark/>
          </w:tcPr>
          <w:p w14:paraId="7E014BE8" w14:textId="6C75471D"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2.6</w:t>
            </w:r>
          </w:p>
        </w:tc>
        <w:tc>
          <w:tcPr>
            <w:tcW w:w="992" w:type="dxa"/>
            <w:tcBorders>
              <w:top w:val="nil"/>
              <w:left w:val="nil"/>
              <w:bottom w:val="single" w:sz="4" w:space="0" w:color="auto"/>
              <w:right w:val="single" w:sz="4" w:space="0" w:color="auto"/>
            </w:tcBorders>
            <w:shd w:val="clear" w:color="000000" w:fill="FFFFFF"/>
            <w:noWrap/>
            <w:vAlign w:val="bottom"/>
            <w:hideMark/>
          </w:tcPr>
          <w:p w14:paraId="12C9ED62" w14:textId="6A360AEF"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3.</w:t>
            </w:r>
            <w:r>
              <w:rPr>
                <w:rFonts w:ascii="Calibri" w:eastAsia="Times New Roman" w:hAnsi="Calibri" w:cs="Times New Roman"/>
                <w:color w:val="000000"/>
                <w:sz w:val="22"/>
                <w:szCs w:val="22"/>
              </w:rPr>
              <w:t>8</w:t>
            </w:r>
          </w:p>
        </w:tc>
        <w:tc>
          <w:tcPr>
            <w:tcW w:w="1134" w:type="dxa"/>
            <w:tcBorders>
              <w:top w:val="nil"/>
              <w:left w:val="nil"/>
              <w:bottom w:val="single" w:sz="4" w:space="0" w:color="auto"/>
              <w:right w:val="single" w:sz="4" w:space="0" w:color="auto"/>
            </w:tcBorders>
            <w:shd w:val="clear" w:color="000000" w:fill="FFFFFF"/>
            <w:noWrap/>
            <w:vAlign w:val="bottom"/>
            <w:hideMark/>
          </w:tcPr>
          <w:p w14:paraId="67A483DE" w14:textId="364E6624"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w:t>
            </w:r>
          </w:p>
        </w:tc>
      </w:tr>
      <w:tr w:rsidR="009253C0" w:rsidRPr="009234D6" w14:paraId="59E1E7D9" w14:textId="77777777" w:rsidTr="00234E0F">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91BC134" w14:textId="78B13B75"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bottom"/>
            <w:hideMark/>
          </w:tcPr>
          <w:p w14:paraId="68CFDD14" w14:textId="4242E32D"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0.7</w:t>
            </w:r>
          </w:p>
        </w:tc>
        <w:tc>
          <w:tcPr>
            <w:tcW w:w="992" w:type="dxa"/>
            <w:tcBorders>
              <w:top w:val="nil"/>
              <w:left w:val="nil"/>
              <w:bottom w:val="single" w:sz="4" w:space="0" w:color="auto"/>
              <w:right w:val="single" w:sz="4" w:space="0" w:color="auto"/>
            </w:tcBorders>
            <w:shd w:val="clear" w:color="auto" w:fill="auto"/>
            <w:noWrap/>
            <w:vAlign w:val="bottom"/>
            <w:hideMark/>
          </w:tcPr>
          <w:p w14:paraId="09612568" w14:textId="1B120FF0"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4</w:t>
            </w:r>
          </w:p>
        </w:tc>
        <w:tc>
          <w:tcPr>
            <w:tcW w:w="993" w:type="dxa"/>
            <w:tcBorders>
              <w:top w:val="nil"/>
              <w:left w:val="nil"/>
              <w:bottom w:val="single" w:sz="4" w:space="0" w:color="auto"/>
              <w:right w:val="single" w:sz="4" w:space="0" w:color="auto"/>
            </w:tcBorders>
            <w:shd w:val="clear" w:color="auto" w:fill="auto"/>
            <w:noWrap/>
            <w:vAlign w:val="bottom"/>
            <w:hideMark/>
          </w:tcPr>
          <w:p w14:paraId="6EE4B1CA" w14:textId="1EFA34D2"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8</w:t>
            </w:r>
          </w:p>
        </w:tc>
        <w:tc>
          <w:tcPr>
            <w:tcW w:w="992" w:type="dxa"/>
            <w:tcBorders>
              <w:top w:val="nil"/>
              <w:left w:val="nil"/>
              <w:bottom w:val="single" w:sz="4" w:space="0" w:color="auto"/>
              <w:right w:val="single" w:sz="4" w:space="0" w:color="auto"/>
            </w:tcBorders>
            <w:shd w:val="clear" w:color="auto" w:fill="auto"/>
            <w:noWrap/>
            <w:vAlign w:val="bottom"/>
            <w:hideMark/>
          </w:tcPr>
          <w:p w14:paraId="56857643" w14:textId="7FC90C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bottom"/>
            <w:hideMark/>
          </w:tcPr>
          <w:p w14:paraId="5916C71F" w14:textId="5EF02990"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2.1</w:t>
            </w:r>
          </w:p>
        </w:tc>
      </w:tr>
      <w:tr w:rsidR="009253C0" w:rsidRPr="009234D6" w14:paraId="0522F204" w14:textId="77777777" w:rsidTr="00234E0F">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A8845C6" w14:textId="3E776EBA"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bottom"/>
            <w:hideMark/>
          </w:tcPr>
          <w:p w14:paraId="68E9A3E1"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14:paraId="6640DE9B"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8</w:t>
            </w:r>
          </w:p>
        </w:tc>
        <w:tc>
          <w:tcPr>
            <w:tcW w:w="993" w:type="dxa"/>
            <w:tcBorders>
              <w:top w:val="nil"/>
              <w:left w:val="nil"/>
              <w:bottom w:val="single" w:sz="4" w:space="0" w:color="auto"/>
              <w:right w:val="single" w:sz="4" w:space="0" w:color="auto"/>
            </w:tcBorders>
            <w:shd w:val="clear" w:color="auto" w:fill="auto"/>
            <w:noWrap/>
            <w:vAlign w:val="bottom"/>
            <w:hideMark/>
          </w:tcPr>
          <w:p w14:paraId="61A8C16A" w14:textId="06DFA140"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0.8</w:t>
            </w:r>
          </w:p>
        </w:tc>
        <w:tc>
          <w:tcPr>
            <w:tcW w:w="992" w:type="dxa"/>
            <w:tcBorders>
              <w:top w:val="nil"/>
              <w:left w:val="nil"/>
              <w:bottom w:val="single" w:sz="4" w:space="0" w:color="auto"/>
              <w:right w:val="single" w:sz="4" w:space="0" w:color="auto"/>
            </w:tcBorders>
            <w:shd w:val="clear" w:color="auto" w:fill="auto"/>
            <w:noWrap/>
            <w:vAlign w:val="bottom"/>
            <w:hideMark/>
          </w:tcPr>
          <w:p w14:paraId="2210E8EF" w14:textId="4C39D942"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7DC4E21A" w14:textId="62509DFA"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5</w:t>
            </w:r>
          </w:p>
        </w:tc>
      </w:tr>
      <w:tr w:rsidR="009253C0" w:rsidRPr="009234D6" w14:paraId="19A3302D" w14:textId="77777777" w:rsidTr="00234E0F">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8AB2C97" w14:textId="49C97A54"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bottom"/>
            <w:hideMark/>
          </w:tcPr>
          <w:p w14:paraId="49DA6BFB"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5B6D4ED4" w14:textId="5166C1AE"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0.4</w:t>
            </w:r>
          </w:p>
        </w:tc>
        <w:tc>
          <w:tcPr>
            <w:tcW w:w="993" w:type="dxa"/>
            <w:tcBorders>
              <w:top w:val="nil"/>
              <w:left w:val="nil"/>
              <w:bottom w:val="single" w:sz="4" w:space="0" w:color="auto"/>
              <w:right w:val="single" w:sz="4" w:space="0" w:color="auto"/>
            </w:tcBorders>
            <w:shd w:val="clear" w:color="auto" w:fill="auto"/>
            <w:noWrap/>
            <w:vAlign w:val="bottom"/>
            <w:hideMark/>
          </w:tcPr>
          <w:p w14:paraId="0B760245"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14:paraId="4941D015" w14:textId="6E210FE4"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7CD88640" w14:textId="056B9C50"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6</w:t>
            </w:r>
          </w:p>
        </w:tc>
      </w:tr>
      <w:tr w:rsidR="009253C0" w:rsidRPr="009234D6" w14:paraId="5A7495EA" w14:textId="77777777" w:rsidTr="00234E0F">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47BE99E" w14:textId="0C584D8E"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20</w:t>
            </w:r>
          </w:p>
        </w:tc>
        <w:tc>
          <w:tcPr>
            <w:tcW w:w="850" w:type="dxa"/>
            <w:tcBorders>
              <w:top w:val="nil"/>
              <w:left w:val="nil"/>
              <w:bottom w:val="single" w:sz="4" w:space="0" w:color="auto"/>
              <w:right w:val="single" w:sz="4" w:space="0" w:color="auto"/>
            </w:tcBorders>
            <w:shd w:val="clear" w:color="auto" w:fill="auto"/>
            <w:noWrap/>
            <w:vAlign w:val="bottom"/>
            <w:hideMark/>
          </w:tcPr>
          <w:p w14:paraId="40BE1FE0"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58D9A72B" w14:textId="32A405AC"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0.4</w:t>
            </w:r>
          </w:p>
        </w:tc>
        <w:tc>
          <w:tcPr>
            <w:tcW w:w="993" w:type="dxa"/>
            <w:tcBorders>
              <w:top w:val="nil"/>
              <w:left w:val="nil"/>
              <w:bottom w:val="single" w:sz="4" w:space="0" w:color="auto"/>
              <w:right w:val="single" w:sz="4" w:space="0" w:color="auto"/>
            </w:tcBorders>
            <w:shd w:val="clear" w:color="auto" w:fill="auto"/>
            <w:noWrap/>
            <w:vAlign w:val="bottom"/>
            <w:hideMark/>
          </w:tcPr>
          <w:p w14:paraId="30EF11CF" w14:textId="597A5D1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14:paraId="5E8B0F55" w14:textId="465231BE"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bottom"/>
            <w:hideMark/>
          </w:tcPr>
          <w:p w14:paraId="17D8279E"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5</w:t>
            </w:r>
          </w:p>
        </w:tc>
      </w:tr>
      <w:tr w:rsidR="009253C0" w:rsidRPr="00AE5790" w14:paraId="56DE4A7A" w14:textId="77777777" w:rsidTr="00234E0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45A810B8" w14:textId="5A4B1F90"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Percentage of people compliant with restrictions</w:t>
            </w:r>
          </w:p>
        </w:tc>
        <w:tc>
          <w:tcPr>
            <w:tcW w:w="850" w:type="dxa"/>
            <w:tcBorders>
              <w:top w:val="single" w:sz="4" w:space="0" w:color="auto"/>
              <w:left w:val="nil"/>
              <w:bottom w:val="single" w:sz="4" w:space="0" w:color="auto"/>
              <w:right w:val="single" w:sz="4" w:space="0" w:color="auto"/>
            </w:tcBorders>
            <w:shd w:val="clear" w:color="000000" w:fill="FFFF00"/>
            <w:noWrap/>
            <w:vAlign w:val="bottom"/>
          </w:tcPr>
          <w:p w14:paraId="5B962D19" w14:textId="0F06B37A" w:rsidR="00876F4F" w:rsidRPr="00F366F4" w:rsidRDefault="00876F4F" w:rsidP="00234E0F">
            <w:pPr>
              <w:spacing w:after="0"/>
              <w:jc w:val="right"/>
              <w:rPr>
                <w:rFonts w:ascii="Calibri" w:hAnsi="Calibri"/>
                <w:color w:val="000000"/>
                <w:sz w:val="22"/>
                <w:highlight w:val="yellow"/>
              </w:rPr>
            </w:pPr>
            <w:r>
              <w:rPr>
                <w:rFonts w:ascii="Calibri" w:eastAsia="Times New Roman" w:hAnsi="Calibri" w:cs="Times New Roman"/>
                <w:color w:val="000000"/>
                <w:sz w:val="22"/>
                <w:szCs w:val="22"/>
                <w:highlight w:val="yellow"/>
              </w:rPr>
              <w:t>92.7</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2B4CF226" w14:textId="0F2012D6"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90.8</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1F25C05" w14:textId="5C7F421B"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90</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9C0F8D9" w14:textId="1917DFA6"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87.2</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B1745D1" w14:textId="43EBB4FA"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90.8</w:t>
            </w:r>
          </w:p>
        </w:tc>
      </w:tr>
    </w:tbl>
    <w:p w14:paraId="28DC0536" w14:textId="77777777" w:rsidR="00876F4F" w:rsidRPr="00601DF7" w:rsidRDefault="00876F4F" w:rsidP="00876F4F">
      <w:pPr>
        <w:spacing w:after="0"/>
        <w:rPr>
          <w:i/>
          <w:iCs/>
        </w:rPr>
      </w:pPr>
      <w:r w:rsidRPr="00601DF7">
        <w:rPr>
          <w:i/>
          <w:iCs/>
        </w:rPr>
        <w:t xml:space="preserve">Note: </w:t>
      </w:r>
      <w:r>
        <w:rPr>
          <w:i/>
          <w:iCs/>
        </w:rPr>
        <w:t>Bupropion</w:t>
      </w:r>
      <w:r w:rsidRPr="00601DF7">
        <w:rPr>
          <w:i/>
          <w:iCs/>
        </w:rPr>
        <w:t xml:space="preserve"> starter pack is with coverage of </w:t>
      </w:r>
      <w:r>
        <w:rPr>
          <w:i/>
          <w:iCs/>
        </w:rPr>
        <w:t>slightly more than 2</w:t>
      </w:r>
      <w:r w:rsidRPr="00601DF7">
        <w:rPr>
          <w:i/>
          <w:iCs/>
        </w:rPr>
        <w:t xml:space="preserve"> weeks, no repeats allowed</w:t>
      </w:r>
      <w:r>
        <w:rPr>
          <w:i/>
          <w:iCs/>
        </w:rPr>
        <w:t>.</w:t>
      </w:r>
      <w:r w:rsidRPr="00601DF7">
        <w:rPr>
          <w:i/>
          <w:iCs/>
        </w:rPr>
        <w:t xml:space="preserve"> </w:t>
      </w:r>
    </w:p>
    <w:p w14:paraId="1BC0A8C2" w14:textId="77777777" w:rsidR="00876F4F" w:rsidRPr="00601DF7" w:rsidRDefault="00876F4F" w:rsidP="00876F4F">
      <w:pPr>
        <w:spacing w:after="0"/>
        <w:rPr>
          <w:i/>
          <w:iCs/>
        </w:rPr>
      </w:pPr>
      <w:r w:rsidRPr="00601DF7">
        <w:rPr>
          <w:i/>
          <w:iCs/>
        </w:rPr>
        <w:t xml:space="preserve">          </w:t>
      </w:r>
      <w:r>
        <w:rPr>
          <w:i/>
          <w:iCs/>
        </w:rPr>
        <w:t>Bupropion</w:t>
      </w:r>
      <w:r w:rsidRPr="00601DF7">
        <w:rPr>
          <w:i/>
          <w:iCs/>
        </w:rPr>
        <w:t xml:space="preserve"> co</w:t>
      </w:r>
      <w:r>
        <w:rPr>
          <w:i/>
          <w:iCs/>
        </w:rPr>
        <w:t>mpletion</w:t>
      </w:r>
      <w:r w:rsidRPr="00601DF7">
        <w:rPr>
          <w:i/>
          <w:iCs/>
        </w:rPr>
        <w:t xml:space="preserve"> pack is with coverage of </w:t>
      </w:r>
      <w:r>
        <w:rPr>
          <w:i/>
          <w:iCs/>
        </w:rPr>
        <w:t>slightly more than 6</w:t>
      </w:r>
      <w:r w:rsidRPr="00601DF7">
        <w:rPr>
          <w:i/>
          <w:iCs/>
        </w:rPr>
        <w:t xml:space="preserve"> weeks, no repeats </w:t>
      </w:r>
      <w:r>
        <w:rPr>
          <w:i/>
          <w:iCs/>
        </w:rPr>
        <w:t>allowed.</w:t>
      </w:r>
    </w:p>
    <w:p w14:paraId="79A04CCA" w14:textId="77777777" w:rsidR="00757681" w:rsidRDefault="00757681">
      <w:pPr>
        <w:spacing w:after="0"/>
        <w:rPr>
          <w:rFonts w:eastAsia="Times New Roman" w:cstheme="minorHAnsi"/>
          <w:b/>
          <w:bCs/>
          <w:iCs/>
          <w:color w:val="548DD4" w:themeColor="text2" w:themeTint="99"/>
          <w:sz w:val="40"/>
          <w:szCs w:val="40"/>
          <w:lang w:eastAsia="en-US"/>
        </w:rPr>
      </w:pPr>
      <w:r>
        <w:rPr>
          <w:rFonts w:cstheme="minorHAnsi"/>
          <w:i/>
          <w:color w:val="548DD4" w:themeColor="text2" w:themeTint="99"/>
          <w:sz w:val="40"/>
          <w:szCs w:val="40"/>
        </w:rPr>
        <w:br w:type="page"/>
      </w:r>
    </w:p>
    <w:p w14:paraId="50267333" w14:textId="5808FC1B" w:rsidR="00032349" w:rsidRPr="00486248" w:rsidRDefault="00486248" w:rsidP="00F366F4">
      <w:pPr>
        <w:pStyle w:val="Heading2"/>
        <w:rPr>
          <w:rFonts w:asciiTheme="minorHAnsi" w:hAnsiTheme="minorHAnsi" w:cstheme="minorHAnsi"/>
          <w:color w:val="4F81BD" w:themeColor="accent1"/>
          <w:sz w:val="40"/>
          <w:szCs w:val="40"/>
        </w:rPr>
      </w:pPr>
      <w:bookmarkStart w:id="53" w:name="_Toc72840904"/>
      <w:r>
        <w:rPr>
          <w:rFonts w:asciiTheme="minorHAnsi" w:hAnsiTheme="minorHAnsi" w:cstheme="minorHAnsi"/>
          <w:i w:val="0"/>
          <w:color w:val="4F81BD" w:themeColor="accent1"/>
          <w:sz w:val="40"/>
          <w:szCs w:val="40"/>
        </w:rPr>
        <w:t>2.5</w:t>
      </w:r>
      <w:r w:rsidR="008819BE" w:rsidRPr="00486248">
        <w:rPr>
          <w:rFonts w:asciiTheme="minorHAnsi" w:hAnsiTheme="minorHAnsi" w:cstheme="minorHAnsi"/>
          <w:i w:val="0"/>
          <w:color w:val="4F81BD" w:themeColor="accent1"/>
          <w:sz w:val="40"/>
          <w:szCs w:val="40"/>
        </w:rPr>
        <w:t xml:space="preserve"> </w:t>
      </w:r>
      <w:r w:rsidR="00032349" w:rsidRPr="00486248">
        <w:rPr>
          <w:rFonts w:asciiTheme="minorHAnsi" w:hAnsiTheme="minorHAnsi" w:cstheme="minorHAnsi"/>
          <w:i w:val="0"/>
          <w:color w:val="4F81BD" w:themeColor="accent1"/>
          <w:sz w:val="40"/>
          <w:szCs w:val="40"/>
        </w:rPr>
        <w:t>Discussion</w:t>
      </w:r>
      <w:bookmarkEnd w:id="53"/>
      <w:r w:rsidR="00032349" w:rsidRPr="00486248">
        <w:rPr>
          <w:rFonts w:asciiTheme="minorHAnsi" w:hAnsiTheme="minorHAnsi" w:cstheme="minorHAnsi"/>
          <w:i w:val="0"/>
          <w:color w:val="4F81BD" w:themeColor="accent1"/>
          <w:sz w:val="40"/>
          <w:szCs w:val="40"/>
        </w:rPr>
        <w:t xml:space="preserve"> </w:t>
      </w:r>
    </w:p>
    <w:p w14:paraId="366B1F48" w14:textId="77777777" w:rsidR="00757681" w:rsidRDefault="00757681" w:rsidP="00526C4B"/>
    <w:p w14:paraId="6E1E5AA5" w14:textId="296C53E5" w:rsidR="00526C4B" w:rsidRPr="00181F3B" w:rsidRDefault="0031724A" w:rsidP="00526C4B">
      <w:r>
        <w:t>T</w:t>
      </w:r>
      <w:r w:rsidRPr="00DC5084">
        <w:t xml:space="preserve">he National Drug Strategy Household survey 2019 </w:t>
      </w:r>
      <w:r>
        <w:t xml:space="preserve">reported </w:t>
      </w:r>
      <w:r w:rsidR="00953385">
        <w:t xml:space="preserve">a </w:t>
      </w:r>
      <w:r>
        <w:t xml:space="preserve">continuing decline in the </w:t>
      </w:r>
      <w:r w:rsidR="005C3990">
        <w:t>rate</w:t>
      </w:r>
      <w:r>
        <w:t xml:space="preserve"> of current smokers aged 18</w:t>
      </w:r>
      <w:r w:rsidR="00953385">
        <w:t xml:space="preserve"> years and over </w:t>
      </w:r>
      <w:r>
        <w:t xml:space="preserve">in Australia – </w:t>
      </w:r>
      <w:r w:rsidRPr="00DC5084">
        <w:t>from 23.8% in 2001 to 14.7% in 2019</w:t>
      </w:r>
      <w:r>
        <w:t xml:space="preserve"> [17]</w:t>
      </w:r>
      <w:r w:rsidRPr="00DC5084">
        <w:t>.</w:t>
      </w:r>
      <w:r>
        <w:t xml:space="preserve"> In line with this, analysis o</w:t>
      </w:r>
      <w:r w:rsidR="00953385">
        <w:t>f</w:t>
      </w:r>
      <w:r>
        <w:t xml:space="preserve"> PBS data also have showed a gradual decline in the utilisation of </w:t>
      </w:r>
      <w:r w:rsidR="00667864">
        <w:t>R/</w:t>
      </w:r>
      <w:r>
        <w:t xml:space="preserve">PBS subsidised smoking cessation therapies – from </w:t>
      </w:r>
      <w:r w:rsidR="00F619D2">
        <w:rPr>
          <w:rFonts w:cstheme="minorHAnsi"/>
          <w:lang w:val="en-US"/>
        </w:rPr>
        <w:t>21</w:t>
      </w:r>
      <w:r>
        <w:rPr>
          <w:rFonts w:cstheme="minorHAnsi"/>
          <w:lang w:val="en-US"/>
        </w:rPr>
        <w:t xml:space="preserve"> people per 1,000 popu</w:t>
      </w:r>
      <w:r w:rsidR="00F619D2">
        <w:rPr>
          <w:rFonts w:cstheme="minorHAnsi"/>
          <w:lang w:val="en-US"/>
        </w:rPr>
        <w:t>lation (2.1</w:t>
      </w:r>
      <w:r>
        <w:rPr>
          <w:rFonts w:cstheme="minorHAnsi"/>
          <w:lang w:val="en-US"/>
        </w:rPr>
        <w:t>%) on smoking cessation treatment in 2010/2011 down to 12 p</w:t>
      </w:r>
      <w:r w:rsidR="00F619D2">
        <w:rPr>
          <w:rFonts w:cstheme="minorHAnsi"/>
          <w:lang w:val="en-US"/>
        </w:rPr>
        <w:t>eople per 1,000 population (1.2</w:t>
      </w:r>
      <w:r>
        <w:rPr>
          <w:rFonts w:cstheme="minorHAnsi"/>
          <w:lang w:val="en-US"/>
        </w:rPr>
        <w:t xml:space="preserve">%) in 2019/2020. </w:t>
      </w:r>
      <w:r w:rsidRPr="00DC5084">
        <w:t xml:space="preserve">The rates </w:t>
      </w:r>
      <w:r w:rsidR="00953385">
        <w:t xml:space="preserve">declined </w:t>
      </w:r>
      <w:r w:rsidRPr="00DC5084">
        <w:t>for both m</w:t>
      </w:r>
      <w:r w:rsidR="00953385">
        <w:t>e</w:t>
      </w:r>
      <w:r w:rsidRPr="00DC5084">
        <w:t>n and women across the years</w:t>
      </w:r>
      <w:r w:rsidR="00486400">
        <w:t>.</w:t>
      </w:r>
      <w:r w:rsidR="006C6C79">
        <w:t xml:space="preserve"> In 2019, 10</w:t>
      </w:r>
      <w:r w:rsidR="00526C4B" w:rsidRPr="00181F3B">
        <w:t>% of all current smokers aged 18</w:t>
      </w:r>
      <w:r w:rsidR="00953385">
        <w:t xml:space="preserve"> years and over</w:t>
      </w:r>
      <w:r w:rsidR="00526C4B" w:rsidRPr="00181F3B">
        <w:t xml:space="preserve"> in Australia </w:t>
      </w:r>
      <w:r w:rsidR="00F76613">
        <w:t>accessed</w:t>
      </w:r>
      <w:r w:rsidR="00526C4B" w:rsidRPr="00181F3B">
        <w:t xml:space="preserve"> smoking cessation therapies under the PBS</w:t>
      </w:r>
      <w:r w:rsidR="00526C4B">
        <w:t>.</w:t>
      </w:r>
    </w:p>
    <w:p w14:paraId="2D02D713" w14:textId="3765B01E" w:rsidR="006C6C79" w:rsidRPr="006C6C79" w:rsidRDefault="00526C4B" w:rsidP="00876F4F">
      <w:pPr>
        <w:pStyle w:val="NoSpacing"/>
        <w:rPr>
          <w:rFonts w:asciiTheme="minorHAnsi" w:hAnsiTheme="minorHAnsi" w:cstheme="minorHAnsi"/>
        </w:rPr>
      </w:pPr>
      <w:r w:rsidRPr="00526C4B">
        <w:rPr>
          <w:rFonts w:asciiTheme="minorHAnsi" w:hAnsiTheme="minorHAnsi"/>
        </w:rPr>
        <w:t xml:space="preserve">Varenicline was the most utilised smoking cessation therapy, followed by NRT and bupropion. </w:t>
      </w:r>
      <w:r w:rsidR="00876F4F" w:rsidRPr="00526C4B">
        <w:rPr>
          <w:rFonts w:asciiTheme="minorHAnsi" w:hAnsiTheme="minorHAnsi"/>
        </w:rPr>
        <w:t>The analysis found a high level of compliance with t</w:t>
      </w:r>
      <w:r w:rsidR="00876F4F" w:rsidRPr="00526C4B">
        <w:rPr>
          <w:rFonts w:asciiTheme="minorHAnsi" w:hAnsiTheme="minorHAnsi" w:cstheme="minorHAnsi"/>
        </w:rPr>
        <w:t xml:space="preserve">he </w:t>
      </w:r>
      <w:r w:rsidR="00876F4F">
        <w:rPr>
          <w:rFonts w:asciiTheme="minorHAnsi" w:hAnsiTheme="minorHAnsi" w:cstheme="minorHAnsi"/>
        </w:rPr>
        <w:t xml:space="preserve">PBS </w:t>
      </w:r>
      <w:r w:rsidR="00876F4F" w:rsidRPr="00526C4B">
        <w:rPr>
          <w:rFonts w:asciiTheme="minorHAnsi" w:hAnsiTheme="minorHAnsi" w:cstheme="minorHAnsi"/>
        </w:rPr>
        <w:t>restriction requirement</w:t>
      </w:r>
      <w:r w:rsidR="00876F4F">
        <w:rPr>
          <w:rFonts w:asciiTheme="minorHAnsi" w:hAnsiTheme="minorHAnsi" w:cstheme="minorHAnsi"/>
        </w:rPr>
        <w:t>s</w:t>
      </w:r>
      <w:r w:rsidR="00876F4F" w:rsidRPr="00526C4B">
        <w:rPr>
          <w:rFonts w:asciiTheme="minorHAnsi" w:hAnsiTheme="minorHAnsi" w:cstheme="minorHAnsi"/>
        </w:rPr>
        <w:t xml:space="preserve"> f</w:t>
      </w:r>
      <w:r w:rsidR="00876F4F">
        <w:rPr>
          <w:rFonts w:asciiTheme="minorHAnsi" w:hAnsiTheme="minorHAnsi" w:cstheme="minorHAnsi"/>
        </w:rPr>
        <w:t>or</w:t>
      </w:r>
      <w:r w:rsidR="00876F4F" w:rsidRPr="00526C4B">
        <w:rPr>
          <w:rFonts w:asciiTheme="minorHAnsi" w:hAnsiTheme="minorHAnsi" w:cstheme="minorHAnsi"/>
        </w:rPr>
        <w:t xml:space="preserve"> </w:t>
      </w:r>
      <w:r w:rsidR="00876F4F">
        <w:rPr>
          <w:rFonts w:asciiTheme="minorHAnsi" w:hAnsiTheme="minorHAnsi" w:cstheme="minorHAnsi"/>
        </w:rPr>
        <w:t>the</w:t>
      </w:r>
      <w:r w:rsidR="00876F4F" w:rsidRPr="00526C4B">
        <w:rPr>
          <w:rFonts w:asciiTheme="minorHAnsi" w:hAnsiTheme="minorHAnsi" w:cstheme="minorHAnsi"/>
        </w:rPr>
        <w:t xml:space="preserve"> maximum supply per year of PBS subsidised therapies – 8</w:t>
      </w:r>
      <w:r w:rsidR="00876F4F">
        <w:rPr>
          <w:rFonts w:asciiTheme="minorHAnsi" w:hAnsiTheme="minorHAnsi" w:cstheme="minorHAnsi"/>
        </w:rPr>
        <w:t>8</w:t>
      </w:r>
      <w:r w:rsidR="00876F4F" w:rsidRPr="00526C4B">
        <w:rPr>
          <w:rFonts w:asciiTheme="minorHAnsi" w:hAnsiTheme="minorHAnsi" w:cstheme="minorHAnsi"/>
        </w:rPr>
        <w:t>% for NRT</w:t>
      </w:r>
      <w:r w:rsidR="00876F4F">
        <w:rPr>
          <w:rFonts w:asciiTheme="minorHAnsi" w:hAnsiTheme="minorHAnsi" w:cstheme="minorHAnsi"/>
        </w:rPr>
        <w:t xml:space="preserve">, 91% for bupropion and </w:t>
      </w:r>
      <w:r w:rsidR="00876F4F" w:rsidRPr="00526C4B">
        <w:rPr>
          <w:rFonts w:asciiTheme="minorHAnsi" w:hAnsiTheme="minorHAnsi" w:cstheme="minorHAnsi"/>
        </w:rPr>
        <w:t>9</w:t>
      </w:r>
      <w:r w:rsidR="00876F4F">
        <w:rPr>
          <w:rFonts w:asciiTheme="minorHAnsi" w:hAnsiTheme="minorHAnsi" w:cstheme="minorHAnsi"/>
        </w:rPr>
        <w:t>8</w:t>
      </w:r>
      <w:r w:rsidR="00876F4F" w:rsidRPr="00526C4B">
        <w:rPr>
          <w:rFonts w:asciiTheme="minorHAnsi" w:hAnsiTheme="minorHAnsi" w:cstheme="minorHAnsi"/>
        </w:rPr>
        <w:t>% for varenicline</w:t>
      </w:r>
      <w:r w:rsidR="00F619D2">
        <w:rPr>
          <w:rFonts w:asciiTheme="minorHAnsi" w:hAnsiTheme="minorHAnsi" w:cstheme="minorHAnsi"/>
        </w:rPr>
        <w:t xml:space="preserve"> in financial 2018/2019. </w:t>
      </w:r>
      <w:r w:rsidR="006C6C79">
        <w:rPr>
          <w:rFonts w:asciiTheme="minorHAnsi" w:hAnsiTheme="minorHAnsi" w:cstheme="minorHAnsi"/>
        </w:rPr>
        <w:t>The 12% who were not compliant with the 12 week PBS restriction for NRT may indicate use for smoking reduction as opposed to cessation, reattempting quitting throughout the year, or may indicate that some consumers require longer than the 12 week period permitted under the PBS to quit.</w:t>
      </w:r>
    </w:p>
    <w:p w14:paraId="1D885418" w14:textId="4D6F17B3" w:rsidR="00486400" w:rsidRDefault="00486400" w:rsidP="00526C4B">
      <w:pPr>
        <w:pStyle w:val="NoSpacing"/>
        <w:rPr>
          <w:rFonts w:asciiTheme="minorHAnsi" w:hAnsiTheme="minorHAnsi" w:cstheme="minorHAnsi"/>
        </w:rPr>
      </w:pPr>
    </w:p>
    <w:p w14:paraId="601EBFC3" w14:textId="55D201F9" w:rsidR="004F6E2C" w:rsidRDefault="004F6E2C" w:rsidP="009B53E8">
      <w:r>
        <w:t xml:space="preserve">Prior to 2019, all PBS subsidised therapies for smoking cessation were extended release formulations and the </w:t>
      </w:r>
      <w:r w:rsidR="004755D0">
        <w:t>co-</w:t>
      </w:r>
      <w:r w:rsidR="006C6C79">
        <w:t>use of over-the-</w:t>
      </w:r>
      <w:r>
        <w:t xml:space="preserve">counter immediate release products </w:t>
      </w:r>
      <w:r w:rsidR="00953385">
        <w:t>was</w:t>
      </w:r>
      <w:r>
        <w:t xml:space="preserve"> recommended to reduce craving</w:t>
      </w:r>
      <w:r w:rsidR="00953385">
        <w:t>s</w:t>
      </w:r>
      <w:r>
        <w:t xml:space="preserve"> – we found that in 2018, t</w:t>
      </w:r>
      <w:r>
        <w:rPr>
          <w:rFonts w:ascii="Calibri" w:eastAsia="Times New Roman" w:hAnsi="Calibri" w:cs="Times New Roman"/>
          <w:color w:val="000000"/>
        </w:rPr>
        <w:t>he NRT market under the PBS was 7.4% from the overall NRT market</w:t>
      </w:r>
      <w:r w:rsidR="004755D0">
        <w:rPr>
          <w:rFonts w:ascii="Calibri" w:eastAsia="Times New Roman" w:hAnsi="Calibri" w:cs="Times New Roman"/>
          <w:color w:val="000000"/>
        </w:rPr>
        <w:t xml:space="preserve"> indicating substantial use of immediate release NRT products</w:t>
      </w:r>
      <w:r w:rsidR="006C6C79">
        <w:rPr>
          <w:rFonts w:ascii="Calibri" w:eastAsia="Times New Roman" w:hAnsi="Calibri" w:cs="Times New Roman"/>
          <w:color w:val="000000"/>
        </w:rPr>
        <w:t xml:space="preserve"> sold over-the-</w:t>
      </w:r>
      <w:r w:rsidR="00612F33">
        <w:rPr>
          <w:rFonts w:ascii="Calibri" w:eastAsia="Times New Roman" w:hAnsi="Calibri" w:cs="Times New Roman"/>
          <w:color w:val="000000"/>
        </w:rPr>
        <w:t>counter</w:t>
      </w:r>
      <w:r w:rsidR="006C6C79">
        <w:rPr>
          <w:rFonts w:ascii="Calibri" w:eastAsia="Times New Roman" w:hAnsi="Calibri" w:cs="Times New Roman"/>
          <w:color w:val="000000"/>
        </w:rPr>
        <w:t>.</w:t>
      </w:r>
    </w:p>
    <w:p w14:paraId="16AF8305" w14:textId="5B0D5E75" w:rsidR="009B53E8" w:rsidRDefault="00B962DC" w:rsidP="009B53E8">
      <w:r>
        <w:t xml:space="preserve">A survey from 2012 found that many smokers make </w:t>
      </w:r>
      <w:r w:rsidR="00667864">
        <w:t>multiple</w:t>
      </w:r>
      <w:r>
        <w:t xml:space="preserve"> quit attempts</w:t>
      </w:r>
      <w:r w:rsidR="00CF4997">
        <w:t xml:space="preserve">, with an average of 2 attempts reported by smokers [24]. </w:t>
      </w:r>
      <w:r>
        <w:t xml:space="preserve">Our results show that </w:t>
      </w:r>
      <w:r w:rsidR="003C214B">
        <w:t>60% of people who initiated smoking cessation therapy between 1 Jul 2010 and 30 Jun 2015 made only one attempt to quit smoking in the 5 years of follow-up.</w:t>
      </w:r>
      <w:r w:rsidR="006C6C79">
        <w:t xml:space="preserve"> This may indicate successful quitting of smoking, a reluctance to use smoking cessation medicines due to a perceived lack of efficacy, or discontinuation due to concerns around safety. The remaining 40% made on average 1.7 attempts w</w:t>
      </w:r>
      <w:r w:rsidR="006C6C79" w:rsidRPr="008C3D54">
        <w:t xml:space="preserve">ith </w:t>
      </w:r>
      <w:r w:rsidR="006C6C79">
        <w:t>breaks of 15 months between attempts.</w:t>
      </w:r>
    </w:p>
    <w:p w14:paraId="66420EDC" w14:textId="77777777" w:rsidR="00667864" w:rsidRDefault="00667864">
      <w:pPr>
        <w:spacing w:after="0"/>
      </w:pPr>
      <w:r>
        <w:br w:type="page"/>
      </w:r>
    </w:p>
    <w:p w14:paraId="0F410908" w14:textId="77777777" w:rsidR="00032349" w:rsidRPr="00486248" w:rsidRDefault="00032349" w:rsidP="00032349">
      <w:pPr>
        <w:pStyle w:val="Heading1"/>
        <w:spacing w:before="480" w:after="240"/>
        <w:jc w:val="center"/>
        <w:rPr>
          <w:rFonts w:asciiTheme="minorHAnsi" w:hAnsiTheme="minorHAnsi"/>
          <w:color w:val="4F81BD" w:themeColor="accent1"/>
          <w:sz w:val="40"/>
          <w:szCs w:val="40"/>
        </w:rPr>
      </w:pPr>
      <w:bookmarkStart w:id="54" w:name="_Toc72840905"/>
      <w:r w:rsidRPr="00486248">
        <w:rPr>
          <w:rFonts w:asciiTheme="minorHAnsi" w:hAnsiTheme="minorHAnsi"/>
          <w:color w:val="4F81BD" w:themeColor="accent1"/>
          <w:sz w:val="40"/>
          <w:szCs w:val="40"/>
        </w:rPr>
        <w:t>References</w:t>
      </w:r>
      <w:bookmarkEnd w:id="54"/>
    </w:p>
    <w:p w14:paraId="4D043C17" w14:textId="77777777" w:rsidR="003D64B1" w:rsidRDefault="003D64B1" w:rsidP="003D64B1">
      <w:pPr>
        <w:pStyle w:val="Footer"/>
        <w:rPr>
          <w:rStyle w:val="Hyperlink"/>
        </w:rPr>
      </w:pPr>
      <w:r>
        <w:t xml:space="preserve">[1]. Therapeutic Goods Administration 2015, </w:t>
      </w:r>
      <w:hyperlink r:id="rId52" w:history="1">
        <w:r w:rsidRPr="00A74658">
          <w:rPr>
            <w:rStyle w:val="Hyperlink"/>
          </w:rPr>
          <w:t>https://www.tga.gov.au/alert/varenicline-champix</w:t>
        </w:r>
      </w:hyperlink>
    </w:p>
    <w:p w14:paraId="3682236F" w14:textId="77777777" w:rsidR="003D64B1" w:rsidRDefault="003D64B1" w:rsidP="003D64B1">
      <w:pPr>
        <w:pStyle w:val="Footer"/>
      </w:pPr>
    </w:p>
    <w:p w14:paraId="39963470" w14:textId="77777777" w:rsidR="003F7859" w:rsidRDefault="003D64B1" w:rsidP="003D64B1">
      <w:pPr>
        <w:pStyle w:val="Footer"/>
      </w:pPr>
      <w:r>
        <w:t xml:space="preserve">[2]. Therapeutic Goods Administration 2012, </w:t>
      </w:r>
    </w:p>
    <w:p w14:paraId="526681BB" w14:textId="77777777" w:rsidR="003D64B1" w:rsidRDefault="003F295B" w:rsidP="003D64B1">
      <w:pPr>
        <w:pStyle w:val="Footer"/>
      </w:pPr>
      <w:hyperlink r:id="rId53" w:anchor="nrt" w:history="1">
        <w:r w:rsidR="003F7859" w:rsidRPr="00321F0E">
          <w:rPr>
            <w:rStyle w:val="Hyperlink"/>
          </w:rPr>
          <w:t>https://www.tga.gov.au/book/m-n-o#nrt</w:t>
        </w:r>
      </w:hyperlink>
    </w:p>
    <w:p w14:paraId="418BC2FE" w14:textId="77777777" w:rsidR="003D64B1" w:rsidRDefault="003D64B1" w:rsidP="003D64B1">
      <w:pPr>
        <w:pStyle w:val="Footer"/>
      </w:pPr>
    </w:p>
    <w:p w14:paraId="29C45EDF" w14:textId="77777777" w:rsidR="003D64B1" w:rsidRDefault="003D64B1" w:rsidP="003D64B1">
      <w:pPr>
        <w:pStyle w:val="Footer"/>
      </w:pPr>
      <w:r>
        <w:t xml:space="preserve">[3]. Therapeutic Goods Administration 2001, </w:t>
      </w:r>
      <w:hyperlink r:id="rId54" w:history="1">
        <w:r w:rsidRPr="00571C1B">
          <w:rPr>
            <w:rStyle w:val="Hyperlink"/>
          </w:rPr>
          <w:t>https://www.tga.gov.au/alert/bupropion-zyban-sr</w:t>
        </w:r>
      </w:hyperlink>
      <w:r>
        <w:t xml:space="preserve"> </w:t>
      </w:r>
    </w:p>
    <w:p w14:paraId="6D784742" w14:textId="77777777" w:rsidR="003D64B1" w:rsidRDefault="003D64B1" w:rsidP="003D64B1">
      <w:pPr>
        <w:pStyle w:val="Footer"/>
      </w:pPr>
    </w:p>
    <w:p w14:paraId="3A529C4C" w14:textId="77777777" w:rsidR="00B578BD" w:rsidRPr="00A4095B" w:rsidRDefault="00B578BD" w:rsidP="00B578BD">
      <w:pPr>
        <w:spacing w:after="0"/>
        <w:rPr>
          <w:rFonts w:ascii="Calibri" w:eastAsia="Times New Roman" w:hAnsi="Calibri" w:cs="Times New Roman"/>
          <w:color w:val="000000"/>
        </w:rPr>
      </w:pPr>
      <w:r w:rsidRPr="00A4095B">
        <w:rPr>
          <w:rFonts w:ascii="Calibri" w:eastAsia="Times New Roman" w:hAnsi="Calibri" w:cs="Times New Roman"/>
          <w:color w:val="000000"/>
        </w:rPr>
        <w:t>[</w:t>
      </w:r>
      <w:r>
        <w:rPr>
          <w:rFonts w:ascii="Calibri" w:eastAsia="Times New Roman" w:hAnsi="Calibri" w:cs="Times New Roman"/>
          <w:color w:val="000000"/>
        </w:rPr>
        <w:t>4</w:t>
      </w:r>
      <w:r w:rsidRPr="00A4095B">
        <w:rPr>
          <w:rFonts w:ascii="Calibri" w:eastAsia="Times New Roman" w:hAnsi="Calibri" w:cs="Times New Roman"/>
          <w:color w:val="000000"/>
        </w:rPr>
        <w:t>]. Euromonitor International</w:t>
      </w:r>
      <w:r>
        <w:rPr>
          <w:rFonts w:ascii="Calibri" w:eastAsia="Times New Roman" w:hAnsi="Calibri" w:cs="Times New Roman"/>
          <w:color w:val="000000"/>
        </w:rPr>
        <w:t xml:space="preserve"> 2019</w:t>
      </w:r>
      <w:r w:rsidRPr="00A4095B">
        <w:rPr>
          <w:rFonts w:ascii="Calibri" w:eastAsia="Times New Roman" w:hAnsi="Calibri" w:cs="Times New Roman"/>
          <w:color w:val="000000"/>
        </w:rPr>
        <w:t>, NRT Smoking Cessation Aids in Australia</w:t>
      </w:r>
    </w:p>
    <w:p w14:paraId="0E42EA0D" w14:textId="77777777" w:rsidR="00B578BD" w:rsidRDefault="00B578BD" w:rsidP="003D64B1">
      <w:pPr>
        <w:pStyle w:val="Footer"/>
      </w:pPr>
    </w:p>
    <w:p w14:paraId="3819B16A" w14:textId="77777777" w:rsidR="003D64B1" w:rsidRPr="009C4420" w:rsidRDefault="003D64B1" w:rsidP="003D64B1">
      <w:pPr>
        <w:rPr>
          <w:rFonts w:cstheme="minorHAnsi"/>
          <w:lang w:val="en-US"/>
        </w:rPr>
      </w:pPr>
      <w:r w:rsidRPr="009C4420">
        <w:rPr>
          <w:rFonts w:cstheme="minorHAnsi"/>
          <w:lang w:val="en-US"/>
        </w:rPr>
        <w:t>[</w:t>
      </w:r>
      <w:r w:rsidR="00B578BD">
        <w:rPr>
          <w:rFonts w:cstheme="minorHAnsi"/>
          <w:lang w:val="en-US"/>
        </w:rPr>
        <w:t>5</w:t>
      </w:r>
      <w:r w:rsidRPr="009C4420">
        <w:rPr>
          <w:rFonts w:cstheme="minorHAnsi"/>
          <w:lang w:val="en-US"/>
        </w:rPr>
        <w:t>]. Australian Bureau of Statistics, 3101.0 - Australian Demographic Statistics, Jun 2011, released Dec 2011</w:t>
      </w:r>
    </w:p>
    <w:p w14:paraId="4CB80E4B" w14:textId="77777777" w:rsidR="003D64B1" w:rsidRPr="009C4420" w:rsidRDefault="003D64B1" w:rsidP="003D64B1">
      <w:pPr>
        <w:rPr>
          <w:rFonts w:cstheme="minorHAnsi"/>
          <w:lang w:val="en-US"/>
        </w:rPr>
      </w:pPr>
      <w:r w:rsidRPr="009C4420">
        <w:rPr>
          <w:rFonts w:cstheme="minorHAnsi"/>
          <w:lang w:val="en-US"/>
        </w:rPr>
        <w:t>[</w:t>
      </w:r>
      <w:r w:rsidR="00B578BD">
        <w:rPr>
          <w:rFonts w:cstheme="minorHAnsi"/>
          <w:lang w:val="en-US"/>
        </w:rPr>
        <w:t>6</w:t>
      </w:r>
      <w:r w:rsidRPr="009C4420">
        <w:rPr>
          <w:rFonts w:cstheme="minorHAnsi"/>
          <w:lang w:val="en-US"/>
        </w:rPr>
        <w:t>]. Australian Bureau of Statistics, 3101.0 - Australian Demographic Statistics, Jun 2012, released Dec 2012</w:t>
      </w:r>
    </w:p>
    <w:p w14:paraId="4C092478" w14:textId="77777777" w:rsidR="003D64B1" w:rsidRPr="009C4420" w:rsidRDefault="003D64B1" w:rsidP="003D64B1">
      <w:pPr>
        <w:rPr>
          <w:rFonts w:cstheme="minorHAnsi"/>
          <w:lang w:val="en-US"/>
        </w:rPr>
      </w:pPr>
      <w:r w:rsidRPr="009C4420">
        <w:rPr>
          <w:rFonts w:cstheme="minorHAnsi"/>
          <w:lang w:val="en-US"/>
        </w:rPr>
        <w:t>[</w:t>
      </w:r>
      <w:r w:rsidR="00B578BD">
        <w:rPr>
          <w:rFonts w:cstheme="minorHAnsi"/>
          <w:lang w:val="en-US"/>
        </w:rPr>
        <w:t>7</w:t>
      </w:r>
      <w:r w:rsidRPr="009C4420">
        <w:rPr>
          <w:rFonts w:cstheme="minorHAnsi"/>
          <w:lang w:val="en-US"/>
        </w:rPr>
        <w:t>]. Australian Bureau of Statistics, 3101.0 - Australian Demographic Statistics, Jun 2013, released Dec 2013</w:t>
      </w:r>
    </w:p>
    <w:p w14:paraId="15C8E58A" w14:textId="77777777" w:rsidR="003D64B1" w:rsidRPr="009C4420" w:rsidRDefault="003D64B1" w:rsidP="003D64B1">
      <w:pPr>
        <w:rPr>
          <w:rFonts w:cstheme="minorHAnsi"/>
          <w:lang w:val="en-US"/>
        </w:rPr>
      </w:pPr>
      <w:r w:rsidRPr="009C4420">
        <w:rPr>
          <w:rFonts w:cstheme="minorHAnsi"/>
          <w:lang w:val="en-US"/>
        </w:rPr>
        <w:t>[</w:t>
      </w:r>
      <w:r w:rsidR="00B578BD">
        <w:rPr>
          <w:rFonts w:cstheme="minorHAnsi"/>
          <w:lang w:val="en-US"/>
        </w:rPr>
        <w:t>8</w:t>
      </w:r>
      <w:r w:rsidRPr="009C4420">
        <w:rPr>
          <w:rFonts w:cstheme="minorHAnsi"/>
          <w:lang w:val="en-US"/>
        </w:rPr>
        <w:t>]. Australian Bureau of Statistics, 3101.0 - Aust</w:t>
      </w:r>
      <w:r>
        <w:rPr>
          <w:rFonts w:cstheme="minorHAnsi"/>
          <w:lang w:val="en-US"/>
        </w:rPr>
        <w:t>r</w:t>
      </w:r>
      <w:r w:rsidRPr="009C4420">
        <w:rPr>
          <w:rFonts w:cstheme="minorHAnsi"/>
          <w:lang w:val="en-US"/>
        </w:rPr>
        <w:t>alian Demographic Statistics, Jun 2014, released Dec 2014</w:t>
      </w:r>
    </w:p>
    <w:p w14:paraId="571A9FB8" w14:textId="77777777" w:rsidR="003D64B1" w:rsidRPr="009C4420" w:rsidRDefault="003D64B1" w:rsidP="003D64B1">
      <w:pPr>
        <w:rPr>
          <w:rFonts w:cstheme="minorHAnsi"/>
          <w:lang w:val="en-US"/>
        </w:rPr>
      </w:pPr>
      <w:r w:rsidRPr="009C4420">
        <w:rPr>
          <w:rFonts w:cstheme="minorHAnsi"/>
          <w:lang w:val="en-US"/>
        </w:rPr>
        <w:t>[</w:t>
      </w:r>
      <w:r w:rsidR="00B578BD">
        <w:rPr>
          <w:rFonts w:cstheme="minorHAnsi"/>
          <w:lang w:val="en-US"/>
        </w:rPr>
        <w:t>9</w:t>
      </w:r>
      <w:r w:rsidRPr="009C4420">
        <w:rPr>
          <w:rFonts w:cstheme="minorHAnsi"/>
          <w:lang w:val="en-US"/>
        </w:rPr>
        <w:t>]. Australian Bureau of Statistics, 3101.0 - Australian Demographic Statistics, Jun 2015, released Dec 2015</w:t>
      </w:r>
    </w:p>
    <w:p w14:paraId="336E45B6" w14:textId="77777777" w:rsidR="003D64B1" w:rsidRPr="009C4420" w:rsidRDefault="003D64B1" w:rsidP="003D64B1">
      <w:pPr>
        <w:rPr>
          <w:rFonts w:cstheme="minorHAnsi"/>
          <w:lang w:val="en-US"/>
        </w:rPr>
      </w:pPr>
      <w:r w:rsidRPr="009C4420">
        <w:rPr>
          <w:rFonts w:cstheme="minorHAnsi"/>
          <w:lang w:val="en-US"/>
        </w:rPr>
        <w:t>[</w:t>
      </w:r>
      <w:r w:rsidR="00B578BD">
        <w:rPr>
          <w:rFonts w:cstheme="minorHAnsi"/>
          <w:lang w:val="en-US"/>
        </w:rPr>
        <w:t>10</w:t>
      </w:r>
      <w:r w:rsidRPr="009C4420">
        <w:rPr>
          <w:rFonts w:cstheme="minorHAnsi"/>
          <w:lang w:val="en-US"/>
        </w:rPr>
        <w:t>]. Australian Bureau of Statistics, 3101.0 - Australian Demographic Statistics, Jun 2016, released Dec 2016</w:t>
      </w:r>
    </w:p>
    <w:p w14:paraId="2875383A" w14:textId="77777777" w:rsidR="003D64B1" w:rsidRPr="009C4420" w:rsidRDefault="003D64B1" w:rsidP="003D64B1">
      <w:pPr>
        <w:rPr>
          <w:rFonts w:cstheme="minorHAnsi"/>
          <w:lang w:val="en-US"/>
        </w:rPr>
      </w:pPr>
      <w:r w:rsidRPr="009C4420">
        <w:rPr>
          <w:rFonts w:cstheme="minorHAnsi"/>
          <w:lang w:val="en-US"/>
        </w:rPr>
        <w:t>[</w:t>
      </w:r>
      <w:r>
        <w:rPr>
          <w:rFonts w:cstheme="minorHAnsi"/>
          <w:lang w:val="en-US"/>
        </w:rPr>
        <w:t>1</w:t>
      </w:r>
      <w:r w:rsidR="00B578BD">
        <w:rPr>
          <w:rFonts w:cstheme="minorHAnsi"/>
          <w:lang w:val="en-US"/>
        </w:rPr>
        <w:t>1</w:t>
      </w:r>
      <w:r w:rsidRPr="009C4420">
        <w:rPr>
          <w:rFonts w:cstheme="minorHAnsi"/>
          <w:lang w:val="en-US"/>
        </w:rPr>
        <w:t>]. Australian Bureau of Statistics, 3101.0 - Australian Demographic Statistics, Jun 2017, released Dec 2017</w:t>
      </w:r>
    </w:p>
    <w:p w14:paraId="33FACC22" w14:textId="77777777" w:rsidR="003D64B1" w:rsidRDefault="003D64B1" w:rsidP="003D64B1">
      <w:pPr>
        <w:rPr>
          <w:rFonts w:cstheme="minorHAnsi"/>
          <w:lang w:val="en-US"/>
        </w:rPr>
      </w:pPr>
      <w:r w:rsidRPr="009C4420">
        <w:rPr>
          <w:rFonts w:cstheme="minorHAnsi"/>
          <w:lang w:val="en-US"/>
        </w:rPr>
        <w:t>[</w:t>
      </w:r>
      <w:r>
        <w:rPr>
          <w:rFonts w:cstheme="minorHAnsi"/>
          <w:lang w:val="en-US"/>
        </w:rPr>
        <w:t>1</w:t>
      </w:r>
      <w:r w:rsidR="00B578BD">
        <w:rPr>
          <w:rFonts w:cstheme="minorHAnsi"/>
          <w:lang w:val="en-US"/>
        </w:rPr>
        <w:t>2</w:t>
      </w:r>
      <w:r w:rsidRPr="009C4420">
        <w:rPr>
          <w:rFonts w:cstheme="minorHAnsi"/>
          <w:lang w:val="en-US"/>
        </w:rPr>
        <w:t>]. Australian Bureau of Statistics, 3101.0 - Australian Demographic Statistics, Jun 2018, released Dec 2018</w:t>
      </w:r>
    </w:p>
    <w:p w14:paraId="3775FDA2" w14:textId="77777777" w:rsidR="003D64B1" w:rsidRDefault="003D64B1" w:rsidP="003D64B1">
      <w:pPr>
        <w:rPr>
          <w:rFonts w:cstheme="minorHAnsi"/>
          <w:lang w:val="en-US"/>
        </w:rPr>
      </w:pPr>
      <w:r w:rsidRPr="009C4420">
        <w:rPr>
          <w:rFonts w:cstheme="minorHAnsi"/>
          <w:lang w:val="en-US"/>
        </w:rPr>
        <w:t>[</w:t>
      </w:r>
      <w:r>
        <w:rPr>
          <w:rFonts w:cstheme="minorHAnsi"/>
          <w:lang w:val="en-US"/>
        </w:rPr>
        <w:t>1</w:t>
      </w:r>
      <w:r w:rsidR="00B578BD">
        <w:rPr>
          <w:rFonts w:cstheme="minorHAnsi"/>
          <w:lang w:val="en-US"/>
        </w:rPr>
        <w:t>3</w:t>
      </w:r>
      <w:r w:rsidRPr="009C4420">
        <w:rPr>
          <w:rFonts w:cstheme="minorHAnsi"/>
          <w:lang w:val="en-US"/>
        </w:rPr>
        <w:t>]. Australian Bureau of Statistics, 3101.0 - Australian Demographic Statistics, Jun 201</w:t>
      </w:r>
      <w:r>
        <w:rPr>
          <w:rFonts w:cstheme="minorHAnsi"/>
          <w:lang w:val="en-US"/>
        </w:rPr>
        <w:t>9</w:t>
      </w:r>
      <w:r w:rsidRPr="009C4420">
        <w:rPr>
          <w:rFonts w:cstheme="minorHAnsi"/>
          <w:lang w:val="en-US"/>
        </w:rPr>
        <w:t>, released Dec 201</w:t>
      </w:r>
      <w:r>
        <w:rPr>
          <w:rFonts w:cstheme="minorHAnsi"/>
          <w:lang w:val="en-US"/>
        </w:rPr>
        <w:t>9</w:t>
      </w:r>
    </w:p>
    <w:p w14:paraId="448FFC0E" w14:textId="77777777" w:rsidR="003D64B1" w:rsidRPr="0074560B" w:rsidRDefault="003D64B1" w:rsidP="003D64B1">
      <w:pPr>
        <w:autoSpaceDE w:val="0"/>
        <w:autoSpaceDN w:val="0"/>
        <w:adjustRightInd w:val="0"/>
        <w:ind w:right="-330"/>
      </w:pPr>
      <w:r>
        <w:t>[1</w:t>
      </w:r>
      <w:r w:rsidR="00B578BD">
        <w:t>4</w:t>
      </w:r>
      <w:r>
        <w:t>]. The Pharmaceutical Benefits Scheme,</w:t>
      </w:r>
      <w:r w:rsidR="003F7859">
        <w:t xml:space="preserve"> </w:t>
      </w:r>
      <w:hyperlink r:id="rId55" w:history="1">
        <w:r w:rsidR="003F7859" w:rsidRPr="00321F0E">
          <w:rPr>
            <w:rStyle w:val="Hyperlink"/>
          </w:rPr>
          <w:t>https://www.pbs.gov.au/medicine/item/5573H</w:t>
        </w:r>
      </w:hyperlink>
      <w:r w:rsidRPr="00B5140B">
        <w:rPr>
          <w:rFonts w:cstheme="minorHAnsi"/>
          <w:color w:val="000000"/>
        </w:rPr>
        <w:t xml:space="preserve"> </w:t>
      </w:r>
    </w:p>
    <w:p w14:paraId="62C57482" w14:textId="77777777" w:rsidR="003D64B1" w:rsidRDefault="003D64B1" w:rsidP="003D64B1">
      <w:pPr>
        <w:autoSpaceDE w:val="0"/>
        <w:autoSpaceDN w:val="0"/>
        <w:adjustRightInd w:val="0"/>
        <w:spacing w:after="0"/>
        <w:jc w:val="both"/>
      </w:pPr>
      <w:r>
        <w:t>[1</w:t>
      </w:r>
      <w:r w:rsidR="00B578BD">
        <w:t>5</w:t>
      </w:r>
      <w:r>
        <w:t xml:space="preserve">]. The Pharmaceutical Benefits Scheme,  </w:t>
      </w:r>
    </w:p>
    <w:p w14:paraId="4C138DBF" w14:textId="77777777" w:rsidR="003D64B1" w:rsidRDefault="003F295B" w:rsidP="003D64B1">
      <w:pPr>
        <w:autoSpaceDE w:val="0"/>
        <w:autoSpaceDN w:val="0"/>
        <w:adjustRightInd w:val="0"/>
        <w:spacing w:after="0"/>
        <w:jc w:val="both"/>
      </w:pPr>
      <w:hyperlink r:id="rId56" w:history="1">
        <w:r w:rsidR="003D64B1" w:rsidRPr="00544D6F">
          <w:rPr>
            <w:rStyle w:val="Hyperlink"/>
          </w:rPr>
          <w:t>https://www.pbs.gov.au/medicine/item/5469W-9129L</w:t>
        </w:r>
      </w:hyperlink>
    </w:p>
    <w:p w14:paraId="2531AF28" w14:textId="77777777" w:rsidR="003D64B1" w:rsidRDefault="003D64B1" w:rsidP="003D64B1">
      <w:pPr>
        <w:autoSpaceDE w:val="0"/>
        <w:autoSpaceDN w:val="0"/>
        <w:adjustRightInd w:val="0"/>
        <w:spacing w:after="0"/>
        <w:jc w:val="both"/>
      </w:pPr>
    </w:p>
    <w:p w14:paraId="7E19520B" w14:textId="77777777" w:rsidR="003D64B1" w:rsidRDefault="003D64B1" w:rsidP="003D64B1">
      <w:pPr>
        <w:autoSpaceDE w:val="0"/>
        <w:autoSpaceDN w:val="0"/>
        <w:adjustRightInd w:val="0"/>
        <w:spacing w:after="0"/>
        <w:jc w:val="both"/>
      </w:pPr>
      <w:r>
        <w:t>[1</w:t>
      </w:r>
      <w:r w:rsidR="00B578BD">
        <w:t>6</w:t>
      </w:r>
      <w:r>
        <w:t xml:space="preserve">]. The Pharmaceutical Benefits Scheme </w:t>
      </w:r>
    </w:p>
    <w:p w14:paraId="2C6D58E6" w14:textId="77777777" w:rsidR="003D64B1" w:rsidRPr="0074560B" w:rsidRDefault="003F295B" w:rsidP="003D64B1">
      <w:pPr>
        <w:autoSpaceDE w:val="0"/>
        <w:autoSpaceDN w:val="0"/>
        <w:adjustRightInd w:val="0"/>
        <w:spacing w:after="0"/>
        <w:jc w:val="both"/>
        <w:rPr>
          <w:rStyle w:val="Hyperlink"/>
          <w:rFonts w:cstheme="minorHAnsi"/>
          <w:color w:val="000000"/>
        </w:rPr>
      </w:pPr>
      <w:hyperlink r:id="rId57" w:history="1">
        <w:r w:rsidR="003F7859" w:rsidRPr="00321F0E">
          <w:rPr>
            <w:rStyle w:val="Hyperlink"/>
          </w:rPr>
          <w:t>https://www.pbs.gov.au/medicine/item/8710K</w:t>
        </w:r>
      </w:hyperlink>
    </w:p>
    <w:p w14:paraId="79F82E6B" w14:textId="77777777" w:rsidR="0022014A" w:rsidRDefault="0022014A" w:rsidP="0022014A">
      <w:pPr>
        <w:spacing w:after="0"/>
        <w:rPr>
          <w:rFonts w:ascii="Calibri" w:eastAsia="Times New Roman" w:hAnsi="Calibri" w:cs="Times New Roman"/>
          <w:color w:val="000000"/>
          <w:sz w:val="22"/>
          <w:szCs w:val="22"/>
        </w:rPr>
      </w:pPr>
    </w:p>
    <w:p w14:paraId="4119A7EC" w14:textId="77777777" w:rsidR="0022014A" w:rsidRPr="00DC5084" w:rsidRDefault="0022014A" w:rsidP="0022014A">
      <w:pPr>
        <w:spacing w:after="0"/>
        <w:rPr>
          <w:rFonts w:ascii="Calibri" w:eastAsia="Times New Roman" w:hAnsi="Calibri" w:cs="Times New Roman"/>
          <w:color w:val="000000"/>
        </w:rPr>
      </w:pPr>
      <w:r w:rsidRPr="00DC5084">
        <w:rPr>
          <w:rFonts w:ascii="Calibri" w:eastAsia="Times New Roman" w:hAnsi="Calibri" w:cs="Times New Roman"/>
          <w:color w:val="000000"/>
        </w:rPr>
        <w:t>[1</w:t>
      </w:r>
      <w:r w:rsidR="00A4095B">
        <w:rPr>
          <w:rFonts w:ascii="Calibri" w:eastAsia="Times New Roman" w:hAnsi="Calibri" w:cs="Times New Roman"/>
          <w:color w:val="000000"/>
        </w:rPr>
        <w:t>7</w:t>
      </w:r>
      <w:r w:rsidRPr="00DC5084">
        <w:rPr>
          <w:rFonts w:ascii="Calibri" w:eastAsia="Times New Roman" w:hAnsi="Calibri" w:cs="Times New Roman"/>
          <w:color w:val="000000"/>
        </w:rPr>
        <w:t>] The Australian Institute of Health and Welfare 2020, National Drug Strategy Household Survey 2019</w:t>
      </w:r>
      <w:r w:rsidR="003F7859" w:rsidRPr="00DC5084">
        <w:rPr>
          <w:rFonts w:ascii="Calibri" w:eastAsia="Times New Roman" w:hAnsi="Calibri" w:cs="Times New Roman"/>
          <w:color w:val="000000"/>
        </w:rPr>
        <w:t xml:space="preserve">, </w:t>
      </w:r>
      <w:hyperlink r:id="rId58" w:history="1">
        <w:r w:rsidR="003F7859" w:rsidRPr="00DC5084">
          <w:rPr>
            <w:rStyle w:val="Hyperlink"/>
            <w:rFonts w:ascii="Calibri" w:eastAsia="Times New Roman" w:hAnsi="Calibri" w:cs="Times New Roman"/>
          </w:rPr>
          <w:t>https://www.aihw.gov.au/reports/illicit-use-of-drugs/national-drug-strategy-household-survey-2019/contents/table-of-contents</w:t>
        </w:r>
      </w:hyperlink>
    </w:p>
    <w:p w14:paraId="104BD5B0" w14:textId="77777777" w:rsidR="00966015" w:rsidRPr="00DC5084" w:rsidRDefault="00966015" w:rsidP="0022014A">
      <w:pPr>
        <w:spacing w:after="0"/>
        <w:rPr>
          <w:rFonts w:ascii="Calibri" w:eastAsia="Times New Roman" w:hAnsi="Calibri" w:cs="Times New Roman"/>
          <w:color w:val="000000"/>
        </w:rPr>
      </w:pPr>
    </w:p>
    <w:p w14:paraId="48518951" w14:textId="77777777" w:rsidR="00966015" w:rsidRPr="00DC5084" w:rsidRDefault="00966015" w:rsidP="0022014A">
      <w:pPr>
        <w:spacing w:after="0"/>
        <w:rPr>
          <w:rFonts w:ascii="Calibri" w:eastAsia="Times New Roman" w:hAnsi="Calibri" w:cs="Times New Roman"/>
          <w:color w:val="000000"/>
        </w:rPr>
      </w:pPr>
      <w:r w:rsidRPr="00DC5084">
        <w:rPr>
          <w:rFonts w:ascii="Calibri" w:eastAsia="Times New Roman" w:hAnsi="Calibri" w:cs="Times New Roman"/>
          <w:color w:val="000000"/>
        </w:rPr>
        <w:t>[1</w:t>
      </w:r>
      <w:r w:rsidR="00A4095B">
        <w:rPr>
          <w:rFonts w:ascii="Calibri" w:eastAsia="Times New Roman" w:hAnsi="Calibri" w:cs="Times New Roman"/>
          <w:color w:val="000000"/>
        </w:rPr>
        <w:t>8</w:t>
      </w:r>
      <w:r w:rsidRPr="00DC5084">
        <w:rPr>
          <w:rFonts w:ascii="Calibri" w:eastAsia="Times New Roman" w:hAnsi="Calibri" w:cs="Times New Roman"/>
          <w:color w:val="000000"/>
        </w:rPr>
        <w:t>]. Australian Bureau of Statistics, 4714.0 – National Aboriginal and Torres Strait Islander Social Survey, 2014-2015, released Apr 2016</w:t>
      </w:r>
    </w:p>
    <w:p w14:paraId="7B0DD418" w14:textId="77777777" w:rsidR="00966015" w:rsidRPr="00DC5084" w:rsidRDefault="00966015" w:rsidP="0022014A">
      <w:pPr>
        <w:spacing w:after="0"/>
        <w:rPr>
          <w:rFonts w:ascii="Calibri" w:eastAsia="Times New Roman" w:hAnsi="Calibri" w:cs="Times New Roman"/>
          <w:color w:val="000000"/>
        </w:rPr>
      </w:pPr>
    </w:p>
    <w:p w14:paraId="5C8E9D98" w14:textId="77777777" w:rsidR="00966015" w:rsidRPr="00DC5084" w:rsidRDefault="00966015" w:rsidP="0022014A">
      <w:pPr>
        <w:spacing w:after="0"/>
        <w:rPr>
          <w:rFonts w:ascii="Calibri" w:eastAsia="Times New Roman" w:hAnsi="Calibri" w:cs="Times New Roman"/>
          <w:color w:val="000000"/>
        </w:rPr>
      </w:pPr>
      <w:r w:rsidRPr="00DC5084">
        <w:rPr>
          <w:rFonts w:ascii="Calibri" w:eastAsia="Times New Roman" w:hAnsi="Calibri" w:cs="Times New Roman"/>
          <w:color w:val="000000"/>
        </w:rPr>
        <w:t>[1</w:t>
      </w:r>
      <w:r w:rsidR="00A4095B">
        <w:rPr>
          <w:rFonts w:ascii="Calibri" w:eastAsia="Times New Roman" w:hAnsi="Calibri" w:cs="Times New Roman"/>
          <w:color w:val="000000"/>
        </w:rPr>
        <w:t>9</w:t>
      </w:r>
      <w:r w:rsidRPr="00DC5084">
        <w:rPr>
          <w:rFonts w:ascii="Calibri" w:eastAsia="Times New Roman" w:hAnsi="Calibri" w:cs="Times New Roman"/>
          <w:color w:val="000000"/>
        </w:rPr>
        <w:t>]. Australian Bureau of Statistics, 4715.0 – National Aboriginal and Torres Strait Islander Health Survey, 2018-2019, released Dec 2019</w:t>
      </w:r>
    </w:p>
    <w:p w14:paraId="6640BA3E" w14:textId="77777777" w:rsidR="00791C7F" w:rsidRPr="00DC5084" w:rsidRDefault="00791C7F" w:rsidP="0022014A">
      <w:pPr>
        <w:spacing w:after="0"/>
        <w:rPr>
          <w:rFonts w:ascii="Calibri" w:eastAsia="Times New Roman" w:hAnsi="Calibri" w:cs="Times New Roman"/>
          <w:color w:val="000000"/>
        </w:rPr>
      </w:pPr>
    </w:p>
    <w:p w14:paraId="5C35B72F" w14:textId="77777777" w:rsidR="00791C7F" w:rsidRPr="00DC5084" w:rsidRDefault="00791C7F" w:rsidP="00791C7F">
      <w:pPr>
        <w:spacing w:after="0"/>
        <w:rPr>
          <w:rFonts w:ascii="Calibri" w:eastAsia="Times New Roman" w:hAnsi="Calibri" w:cs="Times New Roman"/>
          <w:color w:val="000000"/>
        </w:rPr>
      </w:pPr>
      <w:r w:rsidRPr="00DC5084">
        <w:rPr>
          <w:rFonts w:ascii="Calibri" w:eastAsia="Times New Roman" w:hAnsi="Calibri" w:cs="Times New Roman"/>
          <w:color w:val="000000"/>
        </w:rPr>
        <w:t>[</w:t>
      </w:r>
      <w:r w:rsidR="00A4095B">
        <w:rPr>
          <w:rFonts w:ascii="Calibri" w:eastAsia="Times New Roman" w:hAnsi="Calibri" w:cs="Times New Roman"/>
          <w:color w:val="000000"/>
        </w:rPr>
        <w:t>20</w:t>
      </w:r>
      <w:r w:rsidRPr="00DC5084">
        <w:rPr>
          <w:rFonts w:ascii="Calibri" w:eastAsia="Times New Roman" w:hAnsi="Calibri" w:cs="Times New Roman"/>
          <w:color w:val="000000"/>
        </w:rPr>
        <w:t>]. Australian Institute of Health and Welfare 2019, Australia’s mothers and babies 2017: in brief. Perinatal statistics series no. 35</w:t>
      </w:r>
    </w:p>
    <w:p w14:paraId="13C17E0A" w14:textId="77777777" w:rsidR="00791C7F" w:rsidRPr="00DC5084" w:rsidRDefault="00791C7F" w:rsidP="0022014A">
      <w:pPr>
        <w:spacing w:after="0"/>
        <w:rPr>
          <w:rFonts w:ascii="Calibri" w:eastAsia="Times New Roman" w:hAnsi="Calibri" w:cs="Times New Roman"/>
          <w:color w:val="000000"/>
        </w:rPr>
      </w:pPr>
    </w:p>
    <w:p w14:paraId="010CF1B2" w14:textId="77777777" w:rsidR="00791C7F" w:rsidRPr="00DC5084" w:rsidRDefault="00791C7F" w:rsidP="00791C7F">
      <w:pPr>
        <w:spacing w:after="0"/>
        <w:rPr>
          <w:rFonts w:ascii="Calibri" w:eastAsia="Times New Roman" w:hAnsi="Calibri" w:cs="Times New Roman"/>
          <w:color w:val="000000"/>
        </w:rPr>
      </w:pPr>
      <w:r w:rsidRPr="00DC5084">
        <w:rPr>
          <w:rFonts w:ascii="Calibri" w:eastAsia="Times New Roman" w:hAnsi="Calibri" w:cs="Times New Roman"/>
          <w:color w:val="000000"/>
        </w:rPr>
        <w:t>[2</w:t>
      </w:r>
      <w:r w:rsidR="00A4095B">
        <w:rPr>
          <w:rFonts w:ascii="Calibri" w:eastAsia="Times New Roman" w:hAnsi="Calibri" w:cs="Times New Roman"/>
          <w:color w:val="000000"/>
        </w:rPr>
        <w:t>1</w:t>
      </w:r>
      <w:r w:rsidRPr="00DC5084">
        <w:rPr>
          <w:rFonts w:ascii="Calibri" w:eastAsia="Times New Roman" w:hAnsi="Calibri" w:cs="Times New Roman"/>
          <w:color w:val="000000"/>
        </w:rPr>
        <w:t xml:space="preserve">]. Australian Institute of Health and Welfare 2020, Australia’s mothers and babies 2018: in brief. Perinatal statistics series no. 36 </w:t>
      </w:r>
    </w:p>
    <w:p w14:paraId="68A0E5A5" w14:textId="77777777" w:rsidR="00791C7F" w:rsidRPr="00DC5084" w:rsidRDefault="00791C7F" w:rsidP="0022014A">
      <w:pPr>
        <w:spacing w:after="0"/>
        <w:rPr>
          <w:rFonts w:ascii="Calibri" w:eastAsia="Times New Roman" w:hAnsi="Calibri" w:cs="Times New Roman"/>
          <w:color w:val="000000"/>
        </w:rPr>
      </w:pPr>
    </w:p>
    <w:p w14:paraId="7F96DCAE" w14:textId="77777777" w:rsidR="00922677" w:rsidRPr="00DC5084" w:rsidRDefault="003043FE" w:rsidP="00922677">
      <w:pPr>
        <w:spacing w:after="0"/>
        <w:rPr>
          <w:rFonts w:ascii="Calibri" w:eastAsia="Times New Roman" w:hAnsi="Calibri" w:cs="Times New Roman"/>
          <w:color w:val="000000"/>
        </w:rPr>
      </w:pPr>
      <w:r w:rsidRPr="00DC5084">
        <w:rPr>
          <w:rFonts w:ascii="Calibri" w:eastAsia="Times New Roman" w:hAnsi="Calibri" w:cs="Times New Roman"/>
          <w:color w:val="000000"/>
        </w:rPr>
        <w:t>[2</w:t>
      </w:r>
      <w:r w:rsidR="00A4095B">
        <w:rPr>
          <w:rFonts w:ascii="Calibri" w:eastAsia="Times New Roman" w:hAnsi="Calibri" w:cs="Times New Roman"/>
          <w:color w:val="000000"/>
        </w:rPr>
        <w:t>2</w:t>
      </w:r>
      <w:r w:rsidRPr="00DC5084">
        <w:rPr>
          <w:rFonts w:ascii="Calibri" w:eastAsia="Times New Roman" w:hAnsi="Calibri" w:cs="Times New Roman"/>
          <w:color w:val="000000"/>
        </w:rPr>
        <w:t xml:space="preserve">]. </w:t>
      </w:r>
      <w:r w:rsidR="00922677" w:rsidRPr="00DC5084">
        <w:rPr>
          <w:rFonts w:ascii="Calibri" w:eastAsia="Times New Roman" w:hAnsi="Calibri" w:cs="Times New Roman"/>
          <w:color w:val="000000"/>
        </w:rPr>
        <w:t xml:space="preserve">Australian Institute of Health and Welfare 2019, The health of Australia’s prisoners 2018 </w:t>
      </w:r>
    </w:p>
    <w:p w14:paraId="599D0089" w14:textId="77777777" w:rsidR="003043FE" w:rsidRPr="00DC5084" w:rsidRDefault="003043FE" w:rsidP="0022014A">
      <w:pPr>
        <w:spacing w:after="0"/>
        <w:rPr>
          <w:rFonts w:ascii="Calibri" w:eastAsia="Times New Roman" w:hAnsi="Calibri" w:cs="Times New Roman"/>
          <w:color w:val="000000"/>
        </w:rPr>
      </w:pPr>
    </w:p>
    <w:p w14:paraId="772A7563" w14:textId="77777777" w:rsidR="003010D6" w:rsidRPr="00DC5084" w:rsidRDefault="00EE2E2D" w:rsidP="003010D6">
      <w:pPr>
        <w:spacing w:after="0"/>
        <w:rPr>
          <w:rFonts w:eastAsia="Times New Roman" w:cs="Arial"/>
          <w:color w:val="000000"/>
        </w:rPr>
      </w:pPr>
      <w:r w:rsidRPr="00DC5084">
        <w:rPr>
          <w:lang w:eastAsia="en-US"/>
        </w:rPr>
        <w:t>[</w:t>
      </w:r>
      <w:r w:rsidR="003010D6" w:rsidRPr="00DC5084">
        <w:rPr>
          <w:lang w:eastAsia="en-US"/>
        </w:rPr>
        <w:t>2</w:t>
      </w:r>
      <w:r w:rsidR="00A4095B">
        <w:rPr>
          <w:lang w:eastAsia="en-US"/>
        </w:rPr>
        <w:t>3</w:t>
      </w:r>
      <w:r w:rsidRPr="00DC5084">
        <w:rPr>
          <w:lang w:eastAsia="en-US"/>
        </w:rPr>
        <w:t xml:space="preserve">]. </w:t>
      </w:r>
      <w:r w:rsidR="003010D6" w:rsidRPr="00DC5084">
        <w:rPr>
          <w:rFonts w:eastAsia="Times New Roman" w:cs="Arial"/>
          <w:color w:val="000000"/>
        </w:rPr>
        <w:t>Greenhalgh, E, Jenkins, S, Stillman, S &amp; Ford, C 2018, Tobacco in Australia: Facts and issues- smoking and mental health, Cancer Council Victoria</w:t>
      </w:r>
    </w:p>
    <w:p w14:paraId="32E64D34" w14:textId="77777777" w:rsidR="000F0087" w:rsidRPr="00DC5084" w:rsidRDefault="000F0087" w:rsidP="003010D6">
      <w:pPr>
        <w:spacing w:after="0"/>
        <w:rPr>
          <w:rFonts w:eastAsia="Times New Roman" w:cs="Arial"/>
          <w:color w:val="000000"/>
        </w:rPr>
      </w:pPr>
    </w:p>
    <w:p w14:paraId="482C8FA5" w14:textId="77777777" w:rsidR="007A5F73" w:rsidRDefault="000F0087" w:rsidP="007A5F73">
      <w:pPr>
        <w:spacing w:after="0"/>
        <w:rPr>
          <w:rFonts w:cs="Arial"/>
          <w:color w:val="000000"/>
          <w:shd w:val="clear" w:color="auto" w:fill="FFFFFF"/>
        </w:rPr>
      </w:pPr>
      <w:r w:rsidRPr="00DC5084">
        <w:rPr>
          <w:rFonts w:eastAsia="Times New Roman" w:cs="Arial"/>
          <w:color w:val="000000"/>
        </w:rPr>
        <w:t xml:space="preserve">[23]. </w:t>
      </w:r>
      <w:r w:rsidRPr="00DC5084">
        <w:rPr>
          <w:rFonts w:cs="Arial"/>
          <w:color w:val="000000"/>
          <w:shd w:val="clear" w:color="auto" w:fill="FFFFFF"/>
        </w:rPr>
        <w:t> Australian Bureau of Statistics. 4364.0–National Health Survey: First results, 2014–2015.</w:t>
      </w:r>
    </w:p>
    <w:p w14:paraId="708F78EB" w14:textId="77777777" w:rsidR="007A5F73" w:rsidRDefault="007A5F73" w:rsidP="007A5F73">
      <w:pPr>
        <w:spacing w:after="0"/>
        <w:rPr>
          <w:rFonts w:cs="Arial"/>
          <w:color w:val="000000"/>
          <w:shd w:val="clear" w:color="auto" w:fill="FFFFFF"/>
        </w:rPr>
      </w:pPr>
    </w:p>
    <w:p w14:paraId="4B1EB041" w14:textId="77777777" w:rsidR="007A5F73" w:rsidRPr="007A5F73" w:rsidRDefault="007A5F73" w:rsidP="007A5F73">
      <w:pPr>
        <w:spacing w:after="0"/>
        <w:rPr>
          <w:rFonts w:eastAsia="Times New Roman" w:cs="Arial"/>
          <w:color w:val="000000"/>
        </w:rPr>
      </w:pPr>
      <w:r>
        <w:rPr>
          <w:rFonts w:eastAsia="Times New Roman" w:cs="Arial"/>
          <w:color w:val="000000"/>
        </w:rPr>
        <w:t xml:space="preserve">[24] Borland R, Partos T, Yong H, et al. </w:t>
      </w:r>
      <w:r w:rsidRPr="007A5F73">
        <w:rPr>
          <w:rFonts w:cs="Arial"/>
          <w:color w:val="000000"/>
        </w:rPr>
        <w:t>How much unsuccessful quitting activity is going on among adult smokers? Data from the International Tobacco Control 4-Country cohort survey</w:t>
      </w:r>
      <w:r>
        <w:rPr>
          <w:rFonts w:cs="Arial"/>
          <w:color w:val="000000"/>
        </w:rPr>
        <w:t xml:space="preserve">, </w:t>
      </w:r>
      <w:r w:rsidR="00555995" w:rsidRPr="00790D9C">
        <w:rPr>
          <w:rFonts w:cs="Arial"/>
          <w:i/>
          <w:iCs/>
          <w:color w:val="000000"/>
        </w:rPr>
        <w:t>Addiction</w:t>
      </w:r>
      <w:r w:rsidR="00555995">
        <w:rPr>
          <w:rFonts w:cs="Arial"/>
          <w:color w:val="000000"/>
        </w:rPr>
        <w:t xml:space="preserve"> 201</w:t>
      </w:r>
      <w:r w:rsidR="00790D9C">
        <w:rPr>
          <w:rFonts w:cs="Arial"/>
          <w:color w:val="000000"/>
        </w:rPr>
        <w:t>2</w:t>
      </w:r>
      <w:r w:rsidR="00555995">
        <w:rPr>
          <w:rFonts w:cs="Arial"/>
          <w:color w:val="000000"/>
        </w:rPr>
        <w:t xml:space="preserve">, </w:t>
      </w:r>
      <w:r w:rsidR="00790D9C">
        <w:rPr>
          <w:rFonts w:cs="Arial"/>
          <w:color w:val="000000"/>
        </w:rPr>
        <w:t>107 (3), pp.673-682</w:t>
      </w:r>
    </w:p>
    <w:p w14:paraId="735C8234" w14:textId="77777777" w:rsidR="007A5F73" w:rsidRPr="00DC5084" w:rsidRDefault="007A5F73" w:rsidP="00EE2E2D">
      <w:pPr>
        <w:spacing w:after="0"/>
        <w:rPr>
          <w:rFonts w:eastAsia="Times New Roman" w:cs="Arial"/>
          <w:color w:val="000000"/>
        </w:rPr>
      </w:pPr>
    </w:p>
    <w:sectPr w:rsidR="007A5F73" w:rsidRPr="00DC5084" w:rsidSect="006B5FB9">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D0E6F" w14:textId="77777777" w:rsidR="008C40EB" w:rsidRDefault="008C40EB" w:rsidP="00A802AB">
      <w:pPr>
        <w:spacing w:after="0"/>
      </w:pPr>
      <w:r>
        <w:separator/>
      </w:r>
    </w:p>
  </w:endnote>
  <w:endnote w:type="continuationSeparator" w:id="0">
    <w:p w14:paraId="432259CC" w14:textId="77777777" w:rsidR="008C40EB" w:rsidRDefault="008C40EB" w:rsidP="00A802AB">
      <w:pPr>
        <w:spacing w:after="0"/>
      </w:pPr>
      <w:r>
        <w:continuationSeparator/>
      </w:r>
    </w:p>
  </w:endnote>
  <w:endnote w:type="continuationNotice" w:id="1">
    <w:p w14:paraId="398A8CC0" w14:textId="77777777" w:rsidR="008C40EB" w:rsidRDefault="008C40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askerville">
    <w:altName w:val="Times New Roman"/>
    <w:charset w:val="00"/>
    <w:family w:val="auto"/>
    <w:pitch w:val="variable"/>
    <w:sig w:usb0="80000063"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9752" w14:textId="77777777" w:rsidR="003F295B" w:rsidRDefault="003F2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364418"/>
      <w:docPartObj>
        <w:docPartGallery w:val="Page Numbers (Bottom of Page)"/>
        <w:docPartUnique/>
      </w:docPartObj>
    </w:sdtPr>
    <w:sdtEndPr>
      <w:rPr>
        <w:noProof/>
      </w:rPr>
    </w:sdtEndPr>
    <w:sdtContent>
      <w:p w14:paraId="580A3E55" w14:textId="2B88EF53" w:rsidR="008C40EB" w:rsidRDefault="008C40EB">
        <w:pPr>
          <w:pStyle w:val="Footer"/>
          <w:jc w:val="right"/>
        </w:pPr>
        <w:r>
          <w:fldChar w:fldCharType="begin"/>
        </w:r>
        <w:r>
          <w:instrText xml:space="preserve"> PAGE   \* MERGEFORMAT </w:instrText>
        </w:r>
        <w:r>
          <w:fldChar w:fldCharType="separate"/>
        </w:r>
        <w:r w:rsidR="003F295B">
          <w:rPr>
            <w:noProof/>
          </w:rPr>
          <w:t>20</w:t>
        </w:r>
        <w:r>
          <w:rPr>
            <w:noProof/>
          </w:rPr>
          <w:fldChar w:fldCharType="end"/>
        </w:r>
      </w:p>
    </w:sdtContent>
  </w:sdt>
  <w:p w14:paraId="1C0633CC" w14:textId="77777777" w:rsidR="008C40EB" w:rsidRDefault="008C40EB" w:rsidP="00A802A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61B30" w14:textId="77777777" w:rsidR="003F295B" w:rsidRDefault="003F2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B83C8" w14:textId="77777777" w:rsidR="008C40EB" w:rsidRDefault="008C40EB" w:rsidP="00A802AB">
      <w:pPr>
        <w:spacing w:after="0"/>
      </w:pPr>
      <w:r>
        <w:separator/>
      </w:r>
    </w:p>
  </w:footnote>
  <w:footnote w:type="continuationSeparator" w:id="0">
    <w:p w14:paraId="6DEFA06E" w14:textId="77777777" w:rsidR="008C40EB" w:rsidRDefault="008C40EB" w:rsidP="00A802AB">
      <w:pPr>
        <w:spacing w:after="0"/>
      </w:pPr>
      <w:r>
        <w:continuationSeparator/>
      </w:r>
    </w:p>
  </w:footnote>
  <w:footnote w:type="continuationNotice" w:id="1">
    <w:p w14:paraId="4054A91C" w14:textId="77777777" w:rsidR="008C40EB" w:rsidRDefault="008C40EB">
      <w:pPr>
        <w:spacing w:after="0"/>
      </w:pPr>
    </w:p>
  </w:footnote>
  <w:footnote w:id="2">
    <w:p w14:paraId="094ECDE5" w14:textId="77777777" w:rsidR="008C40EB" w:rsidRPr="00EA42D5" w:rsidRDefault="008C40EB" w:rsidP="00B56576">
      <w:pPr>
        <w:pStyle w:val="Default"/>
        <w:rPr>
          <w:rFonts w:asciiTheme="minorHAnsi" w:hAnsiTheme="minorHAnsi"/>
          <w:sz w:val="20"/>
          <w:szCs w:val="20"/>
        </w:rPr>
      </w:pPr>
      <w:r w:rsidRPr="00EA42D5">
        <w:rPr>
          <w:rStyle w:val="FootnoteReference"/>
          <w:rFonts w:asciiTheme="minorHAnsi" w:hAnsiTheme="minorHAnsi" w:cstheme="minorHAnsi"/>
          <w:sz w:val="20"/>
          <w:szCs w:val="20"/>
        </w:rPr>
        <w:footnoteRef/>
      </w:r>
      <w:r w:rsidRPr="00EA42D5">
        <w:rPr>
          <w:rFonts w:asciiTheme="minorHAnsi" w:hAnsiTheme="minorHAnsi" w:cstheme="minorHAnsi"/>
          <w:sz w:val="20"/>
          <w:szCs w:val="20"/>
        </w:rPr>
        <w:t xml:space="preserve"> </w:t>
      </w:r>
      <w:r w:rsidRPr="00EA42D5">
        <w:rPr>
          <w:rFonts w:asciiTheme="minorHAnsi" w:hAnsiTheme="minorHAnsi"/>
          <w:sz w:val="20"/>
          <w:szCs w:val="20"/>
        </w:rPr>
        <w:t xml:space="preserve">Tackling Indigenous Smoking Program Final Evaluation Report Prepared for the Australian Government Department of Health July 2018 https://www.health.gov.au/sites/default/files/tackling-indigenous-smoking-program-final-evaluation-report.pdf </w:t>
      </w:r>
    </w:p>
    <w:p w14:paraId="2F3D8529" w14:textId="77777777" w:rsidR="008C40EB" w:rsidRDefault="008C40EB" w:rsidP="00B56576">
      <w:pPr>
        <w:pStyle w:val="CommentText"/>
      </w:pPr>
    </w:p>
    <w:p w14:paraId="662A4DDC" w14:textId="77777777" w:rsidR="008C40EB" w:rsidRDefault="008C40EB" w:rsidP="00B565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443A" w14:textId="77777777" w:rsidR="008C40EB" w:rsidRDefault="003F295B">
    <w:pPr>
      <w:pStyle w:val="Header"/>
    </w:pPr>
    <w:r>
      <w:rPr>
        <w:noProof/>
      </w:rPr>
      <w:pict w14:anchorId="24342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058626"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9525" w14:textId="77777777" w:rsidR="008C40EB" w:rsidRDefault="003F295B">
    <w:pPr>
      <w:pStyle w:val="Header"/>
    </w:pPr>
    <w:r>
      <w:rPr>
        <w:noProof/>
      </w:rPr>
      <w:pict w14:anchorId="00536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058627"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57AC" w14:textId="77777777" w:rsidR="008C40EB" w:rsidRDefault="003F295B">
    <w:pPr>
      <w:pStyle w:val="Header"/>
    </w:pPr>
    <w:r>
      <w:rPr>
        <w:noProof/>
      </w:rPr>
      <w:pict w14:anchorId="1A6FC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058625"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807"/>
    <w:multiLevelType w:val="multilevel"/>
    <w:tmpl w:val="4900F916"/>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942B84"/>
    <w:multiLevelType w:val="multilevel"/>
    <w:tmpl w:val="53AA1AB0"/>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6E05D1"/>
    <w:multiLevelType w:val="multilevel"/>
    <w:tmpl w:val="9EF24506"/>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146F06"/>
    <w:multiLevelType w:val="hybridMultilevel"/>
    <w:tmpl w:val="0720A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CF7748"/>
    <w:multiLevelType w:val="hybridMultilevel"/>
    <w:tmpl w:val="B12A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926068"/>
    <w:multiLevelType w:val="hybridMultilevel"/>
    <w:tmpl w:val="E5CA16F8"/>
    <w:lvl w:ilvl="0" w:tplc="6004DDE2">
      <w:start w:val="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B37554"/>
    <w:multiLevelType w:val="hybridMultilevel"/>
    <w:tmpl w:val="2D9AF246"/>
    <w:lvl w:ilvl="0" w:tplc="4F4A59EC">
      <w:start w:val="9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333D43"/>
    <w:multiLevelType w:val="hybridMultilevel"/>
    <w:tmpl w:val="294EE120"/>
    <w:lvl w:ilvl="0" w:tplc="7BD89A4C">
      <w:numFmt w:val="bullet"/>
      <w:lvlText w:val="•"/>
      <w:lvlJc w:val="left"/>
      <w:pPr>
        <w:ind w:left="360" w:hanging="360"/>
      </w:pPr>
      <w:rPr>
        <w:rFonts w:ascii="Calibri" w:eastAsiaTheme="minorEastAsia"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F85C4C"/>
    <w:multiLevelType w:val="hybridMultilevel"/>
    <w:tmpl w:val="50BEE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02B17"/>
    <w:multiLevelType w:val="hybridMultilevel"/>
    <w:tmpl w:val="6E4CF9E8"/>
    <w:lvl w:ilvl="0" w:tplc="FE2EC4FC">
      <w:start w:val="1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507F0"/>
    <w:multiLevelType w:val="hybridMultilevel"/>
    <w:tmpl w:val="8E2244B2"/>
    <w:lvl w:ilvl="0" w:tplc="15327928">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5C3B2C"/>
    <w:multiLevelType w:val="hybridMultilevel"/>
    <w:tmpl w:val="AD02B2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371566"/>
    <w:multiLevelType w:val="multilevel"/>
    <w:tmpl w:val="382A228E"/>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6F9700A"/>
    <w:multiLevelType w:val="hybridMultilevel"/>
    <w:tmpl w:val="7BD885EE"/>
    <w:lvl w:ilvl="0" w:tplc="E2DA67C6">
      <w:start w:val="1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6171B4"/>
    <w:multiLevelType w:val="multilevel"/>
    <w:tmpl w:val="A22A97E4"/>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6136ED5"/>
    <w:multiLevelType w:val="hybridMultilevel"/>
    <w:tmpl w:val="E26CE94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563CF5"/>
    <w:multiLevelType w:val="multilevel"/>
    <w:tmpl w:val="84AAFAFC"/>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0F2484"/>
    <w:multiLevelType w:val="multilevel"/>
    <w:tmpl w:val="EEF0F9EA"/>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2"/>
      <w:numFmt w:val="decimal"/>
      <w:lvlText w:val="%1.%2.%3"/>
      <w:lvlJc w:val="left"/>
      <w:pPr>
        <w:ind w:left="720" w:hanging="720"/>
      </w:pPr>
      <w:rPr>
        <w:rFonts w:hint="default"/>
        <w:b/>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FC37E1C"/>
    <w:multiLevelType w:val="hybridMultilevel"/>
    <w:tmpl w:val="92CC1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B4645D"/>
    <w:multiLevelType w:val="multilevel"/>
    <w:tmpl w:val="FFB6A7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C14C34"/>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405A2E"/>
    <w:multiLevelType w:val="hybridMultilevel"/>
    <w:tmpl w:val="E26E2986"/>
    <w:lvl w:ilvl="0" w:tplc="7BD89A4C">
      <w:numFmt w:val="bullet"/>
      <w:lvlText w:val="•"/>
      <w:lvlJc w:val="left"/>
      <w:pPr>
        <w:ind w:left="360" w:hanging="360"/>
      </w:pPr>
      <w:rPr>
        <w:rFonts w:ascii="Calibri" w:eastAsiaTheme="minorEastAsia" w:hAnsi="Calibri" w:cstheme="minorBidi" w:hint="default"/>
      </w:rPr>
    </w:lvl>
    <w:lvl w:ilvl="1" w:tplc="C8CE0DAA">
      <w:numFmt w:val="bullet"/>
      <w:lvlText w:val="-"/>
      <w:lvlJc w:val="left"/>
      <w:pPr>
        <w:ind w:left="1080" w:hanging="360"/>
      </w:pPr>
      <w:rPr>
        <w:rFonts w:ascii="Calibri" w:eastAsiaTheme="minorEastAsia" w:hAnsi="Calibri" w:cstheme="minorHAns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A11B8D"/>
    <w:multiLevelType w:val="hybridMultilevel"/>
    <w:tmpl w:val="D13CAA5C"/>
    <w:lvl w:ilvl="0" w:tplc="631223D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4C2136F"/>
    <w:multiLevelType w:val="hybridMultilevel"/>
    <w:tmpl w:val="7AC6A12E"/>
    <w:lvl w:ilvl="0" w:tplc="C2CA7664">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571EC4"/>
    <w:multiLevelType w:val="multilevel"/>
    <w:tmpl w:val="1F60E946"/>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4"/>
  </w:num>
  <w:num w:numId="3">
    <w:abstractNumId w:val="20"/>
  </w:num>
  <w:num w:numId="4">
    <w:abstractNumId w:val="23"/>
  </w:num>
  <w:num w:numId="5">
    <w:abstractNumId w:val="11"/>
  </w:num>
  <w:num w:numId="6">
    <w:abstractNumId w:val="22"/>
  </w:num>
  <w:num w:numId="7">
    <w:abstractNumId w:val="7"/>
  </w:num>
  <w:num w:numId="8">
    <w:abstractNumId w:val="9"/>
  </w:num>
  <w:num w:numId="9">
    <w:abstractNumId w:val="21"/>
  </w:num>
  <w:num w:numId="10">
    <w:abstractNumId w:val="8"/>
  </w:num>
  <w:num w:numId="11">
    <w:abstractNumId w:val="13"/>
  </w:num>
  <w:num w:numId="12">
    <w:abstractNumId w:val="15"/>
  </w:num>
  <w:num w:numId="13">
    <w:abstractNumId w:val="6"/>
  </w:num>
  <w:num w:numId="14">
    <w:abstractNumId w:val="5"/>
  </w:num>
  <w:num w:numId="15">
    <w:abstractNumId w:val="19"/>
  </w:num>
  <w:num w:numId="16">
    <w:abstractNumId w:val="18"/>
  </w:num>
  <w:num w:numId="17">
    <w:abstractNumId w:val="2"/>
  </w:num>
  <w:num w:numId="18">
    <w:abstractNumId w:val="0"/>
  </w:num>
  <w:num w:numId="19">
    <w:abstractNumId w:val="25"/>
  </w:num>
  <w:num w:numId="20">
    <w:abstractNumId w:val="14"/>
  </w:num>
  <w:num w:numId="21">
    <w:abstractNumId w:val="12"/>
  </w:num>
  <w:num w:numId="22">
    <w:abstractNumId w:val="1"/>
  </w:num>
  <w:num w:numId="23">
    <w:abstractNumId w:val="17"/>
  </w:num>
  <w:num w:numId="24">
    <w:abstractNumId w:val="16"/>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3E"/>
    <w:rsid w:val="00003743"/>
    <w:rsid w:val="00004DF5"/>
    <w:rsid w:val="00005349"/>
    <w:rsid w:val="00005A59"/>
    <w:rsid w:val="000152A6"/>
    <w:rsid w:val="00016572"/>
    <w:rsid w:val="000219E2"/>
    <w:rsid w:val="00030E4C"/>
    <w:rsid w:val="00032349"/>
    <w:rsid w:val="0003355C"/>
    <w:rsid w:val="00042528"/>
    <w:rsid w:val="0004555D"/>
    <w:rsid w:val="00047D89"/>
    <w:rsid w:val="00067456"/>
    <w:rsid w:val="00071C24"/>
    <w:rsid w:val="00072AC9"/>
    <w:rsid w:val="000759B6"/>
    <w:rsid w:val="000803DB"/>
    <w:rsid w:val="000933EE"/>
    <w:rsid w:val="00093B81"/>
    <w:rsid w:val="0009643B"/>
    <w:rsid w:val="000A3424"/>
    <w:rsid w:val="000B6A5D"/>
    <w:rsid w:val="000B77EB"/>
    <w:rsid w:val="000B7AD6"/>
    <w:rsid w:val="000C0A29"/>
    <w:rsid w:val="000D2C82"/>
    <w:rsid w:val="000D7A5E"/>
    <w:rsid w:val="000E0388"/>
    <w:rsid w:val="000E16E7"/>
    <w:rsid w:val="000E24E5"/>
    <w:rsid w:val="000E5AAA"/>
    <w:rsid w:val="000F0087"/>
    <w:rsid w:val="000F01E8"/>
    <w:rsid w:val="000F4458"/>
    <w:rsid w:val="000F6304"/>
    <w:rsid w:val="000F74B1"/>
    <w:rsid w:val="0010093A"/>
    <w:rsid w:val="00105EAA"/>
    <w:rsid w:val="0012280F"/>
    <w:rsid w:val="0013161E"/>
    <w:rsid w:val="00132E8B"/>
    <w:rsid w:val="001370F6"/>
    <w:rsid w:val="0014046F"/>
    <w:rsid w:val="00141886"/>
    <w:rsid w:val="001478B4"/>
    <w:rsid w:val="0015086F"/>
    <w:rsid w:val="00150968"/>
    <w:rsid w:val="00152BDC"/>
    <w:rsid w:val="001533D2"/>
    <w:rsid w:val="00156C15"/>
    <w:rsid w:val="00171165"/>
    <w:rsid w:val="00177801"/>
    <w:rsid w:val="00181F3B"/>
    <w:rsid w:val="00182EB9"/>
    <w:rsid w:val="001900E2"/>
    <w:rsid w:val="00190AD6"/>
    <w:rsid w:val="001934EA"/>
    <w:rsid w:val="00193DE2"/>
    <w:rsid w:val="001973E2"/>
    <w:rsid w:val="001B2D63"/>
    <w:rsid w:val="001B3443"/>
    <w:rsid w:val="001B6CE5"/>
    <w:rsid w:val="001C7948"/>
    <w:rsid w:val="001C7EAC"/>
    <w:rsid w:val="001D11E7"/>
    <w:rsid w:val="001D7EF9"/>
    <w:rsid w:val="001E10A3"/>
    <w:rsid w:val="001E382D"/>
    <w:rsid w:val="00201393"/>
    <w:rsid w:val="00202536"/>
    <w:rsid w:val="002026F3"/>
    <w:rsid w:val="0020290F"/>
    <w:rsid w:val="00202FC9"/>
    <w:rsid w:val="00214226"/>
    <w:rsid w:val="00214E29"/>
    <w:rsid w:val="002179F2"/>
    <w:rsid w:val="00217FC3"/>
    <w:rsid w:val="0022014A"/>
    <w:rsid w:val="0022178F"/>
    <w:rsid w:val="00223A37"/>
    <w:rsid w:val="002240AC"/>
    <w:rsid w:val="00226B82"/>
    <w:rsid w:val="00232CA1"/>
    <w:rsid w:val="00234E0F"/>
    <w:rsid w:val="0023793A"/>
    <w:rsid w:val="0024011E"/>
    <w:rsid w:val="002444C6"/>
    <w:rsid w:val="00245F51"/>
    <w:rsid w:val="00257697"/>
    <w:rsid w:val="002578ED"/>
    <w:rsid w:val="00260EDF"/>
    <w:rsid w:val="00270432"/>
    <w:rsid w:val="00270E96"/>
    <w:rsid w:val="0027172A"/>
    <w:rsid w:val="00271DC2"/>
    <w:rsid w:val="00275903"/>
    <w:rsid w:val="002810F7"/>
    <w:rsid w:val="00290C68"/>
    <w:rsid w:val="00292532"/>
    <w:rsid w:val="00292588"/>
    <w:rsid w:val="002B1C0E"/>
    <w:rsid w:val="002C2FD9"/>
    <w:rsid w:val="002C41C3"/>
    <w:rsid w:val="002D1B0C"/>
    <w:rsid w:val="002D39E2"/>
    <w:rsid w:val="002D5559"/>
    <w:rsid w:val="002D61C4"/>
    <w:rsid w:val="002D6E3E"/>
    <w:rsid w:val="002E588D"/>
    <w:rsid w:val="002E6F9A"/>
    <w:rsid w:val="002F151C"/>
    <w:rsid w:val="002F2E48"/>
    <w:rsid w:val="002F77D7"/>
    <w:rsid w:val="003005C0"/>
    <w:rsid w:val="003010D6"/>
    <w:rsid w:val="0030117A"/>
    <w:rsid w:val="00301588"/>
    <w:rsid w:val="003043FE"/>
    <w:rsid w:val="00305F11"/>
    <w:rsid w:val="0030758A"/>
    <w:rsid w:val="0030786C"/>
    <w:rsid w:val="00316C23"/>
    <w:rsid w:val="0031724A"/>
    <w:rsid w:val="003175AC"/>
    <w:rsid w:val="00321F06"/>
    <w:rsid w:val="00322020"/>
    <w:rsid w:val="003221FD"/>
    <w:rsid w:val="003227B3"/>
    <w:rsid w:val="00325DB8"/>
    <w:rsid w:val="003271EF"/>
    <w:rsid w:val="003375D1"/>
    <w:rsid w:val="00340D05"/>
    <w:rsid w:val="00341542"/>
    <w:rsid w:val="0034416C"/>
    <w:rsid w:val="00353AED"/>
    <w:rsid w:val="00356C1C"/>
    <w:rsid w:val="0036121F"/>
    <w:rsid w:val="0036142A"/>
    <w:rsid w:val="00372E96"/>
    <w:rsid w:val="003744C2"/>
    <w:rsid w:val="0037512A"/>
    <w:rsid w:val="00391CE4"/>
    <w:rsid w:val="003926C1"/>
    <w:rsid w:val="00397485"/>
    <w:rsid w:val="003A1256"/>
    <w:rsid w:val="003A2E93"/>
    <w:rsid w:val="003B1798"/>
    <w:rsid w:val="003B4E9E"/>
    <w:rsid w:val="003B5153"/>
    <w:rsid w:val="003C1D9C"/>
    <w:rsid w:val="003C214B"/>
    <w:rsid w:val="003C251F"/>
    <w:rsid w:val="003D05BD"/>
    <w:rsid w:val="003D17F9"/>
    <w:rsid w:val="003D2D3D"/>
    <w:rsid w:val="003D2D7F"/>
    <w:rsid w:val="003D387E"/>
    <w:rsid w:val="003D64B1"/>
    <w:rsid w:val="003D7ED2"/>
    <w:rsid w:val="003E1CCD"/>
    <w:rsid w:val="003E6B5D"/>
    <w:rsid w:val="003F16CC"/>
    <w:rsid w:val="003F295B"/>
    <w:rsid w:val="003F2B4F"/>
    <w:rsid w:val="003F35D8"/>
    <w:rsid w:val="003F7859"/>
    <w:rsid w:val="00401A23"/>
    <w:rsid w:val="00401ADD"/>
    <w:rsid w:val="004055C2"/>
    <w:rsid w:val="00416613"/>
    <w:rsid w:val="0042397C"/>
    <w:rsid w:val="00423ACB"/>
    <w:rsid w:val="004303EE"/>
    <w:rsid w:val="0043625B"/>
    <w:rsid w:val="00437349"/>
    <w:rsid w:val="004446CB"/>
    <w:rsid w:val="00446CC4"/>
    <w:rsid w:val="00450412"/>
    <w:rsid w:val="00452FA2"/>
    <w:rsid w:val="00454055"/>
    <w:rsid w:val="00454D73"/>
    <w:rsid w:val="00455023"/>
    <w:rsid w:val="00462729"/>
    <w:rsid w:val="00464950"/>
    <w:rsid w:val="00474718"/>
    <w:rsid w:val="004755D0"/>
    <w:rsid w:val="00475812"/>
    <w:rsid w:val="00486248"/>
    <w:rsid w:val="00486400"/>
    <w:rsid w:val="004867E2"/>
    <w:rsid w:val="00490E5F"/>
    <w:rsid w:val="00494846"/>
    <w:rsid w:val="004A44F2"/>
    <w:rsid w:val="004A7391"/>
    <w:rsid w:val="004B251A"/>
    <w:rsid w:val="004B35CB"/>
    <w:rsid w:val="004C0C53"/>
    <w:rsid w:val="004E771B"/>
    <w:rsid w:val="004F6E2C"/>
    <w:rsid w:val="004F6FBB"/>
    <w:rsid w:val="005071A7"/>
    <w:rsid w:val="00510ED8"/>
    <w:rsid w:val="0051540F"/>
    <w:rsid w:val="005213B8"/>
    <w:rsid w:val="0052150A"/>
    <w:rsid w:val="005223EA"/>
    <w:rsid w:val="00526C4B"/>
    <w:rsid w:val="00533C05"/>
    <w:rsid w:val="005353C7"/>
    <w:rsid w:val="005368D5"/>
    <w:rsid w:val="00555995"/>
    <w:rsid w:val="005668A4"/>
    <w:rsid w:val="0056712E"/>
    <w:rsid w:val="00572213"/>
    <w:rsid w:val="005750D1"/>
    <w:rsid w:val="00583F05"/>
    <w:rsid w:val="00591853"/>
    <w:rsid w:val="00592686"/>
    <w:rsid w:val="005955D0"/>
    <w:rsid w:val="005A39EC"/>
    <w:rsid w:val="005C05C2"/>
    <w:rsid w:val="005C1BD0"/>
    <w:rsid w:val="005C3990"/>
    <w:rsid w:val="005D0923"/>
    <w:rsid w:val="005D2857"/>
    <w:rsid w:val="005E2908"/>
    <w:rsid w:val="005E3389"/>
    <w:rsid w:val="005F020A"/>
    <w:rsid w:val="005F0D6A"/>
    <w:rsid w:val="005F6B1E"/>
    <w:rsid w:val="005F711D"/>
    <w:rsid w:val="00601DF7"/>
    <w:rsid w:val="006064D5"/>
    <w:rsid w:val="006120EF"/>
    <w:rsid w:val="00612F33"/>
    <w:rsid w:val="0061661B"/>
    <w:rsid w:val="0061730D"/>
    <w:rsid w:val="00621EF9"/>
    <w:rsid w:val="00623949"/>
    <w:rsid w:val="006247B5"/>
    <w:rsid w:val="00630CC5"/>
    <w:rsid w:val="00633DF7"/>
    <w:rsid w:val="00636E6F"/>
    <w:rsid w:val="00642212"/>
    <w:rsid w:val="00653B8B"/>
    <w:rsid w:val="006541FF"/>
    <w:rsid w:val="0065631E"/>
    <w:rsid w:val="00660E52"/>
    <w:rsid w:val="00661C3D"/>
    <w:rsid w:val="00665A8C"/>
    <w:rsid w:val="00667864"/>
    <w:rsid w:val="0067583B"/>
    <w:rsid w:val="00676DDB"/>
    <w:rsid w:val="006773A2"/>
    <w:rsid w:val="00682625"/>
    <w:rsid w:val="006853CB"/>
    <w:rsid w:val="00696342"/>
    <w:rsid w:val="00697DCE"/>
    <w:rsid w:val="006A638F"/>
    <w:rsid w:val="006A6579"/>
    <w:rsid w:val="006B4474"/>
    <w:rsid w:val="006B454E"/>
    <w:rsid w:val="006B5FB9"/>
    <w:rsid w:val="006C0053"/>
    <w:rsid w:val="006C1C1A"/>
    <w:rsid w:val="006C280B"/>
    <w:rsid w:val="006C5382"/>
    <w:rsid w:val="006C6C79"/>
    <w:rsid w:val="006D3304"/>
    <w:rsid w:val="006E71F7"/>
    <w:rsid w:val="006F1744"/>
    <w:rsid w:val="006F4276"/>
    <w:rsid w:val="00704D5E"/>
    <w:rsid w:val="0070522D"/>
    <w:rsid w:val="00716CC7"/>
    <w:rsid w:val="00721E95"/>
    <w:rsid w:val="0073492B"/>
    <w:rsid w:val="00753139"/>
    <w:rsid w:val="00755889"/>
    <w:rsid w:val="007562CB"/>
    <w:rsid w:val="007562FF"/>
    <w:rsid w:val="00757681"/>
    <w:rsid w:val="00760AE9"/>
    <w:rsid w:val="0076518F"/>
    <w:rsid w:val="00785080"/>
    <w:rsid w:val="00790D9C"/>
    <w:rsid w:val="007918FA"/>
    <w:rsid w:val="00791C7F"/>
    <w:rsid w:val="007A0BE4"/>
    <w:rsid w:val="007A11FF"/>
    <w:rsid w:val="007A2EA3"/>
    <w:rsid w:val="007A413E"/>
    <w:rsid w:val="007A55ED"/>
    <w:rsid w:val="007A5F73"/>
    <w:rsid w:val="007B4C63"/>
    <w:rsid w:val="007C0926"/>
    <w:rsid w:val="007C572C"/>
    <w:rsid w:val="007D17CD"/>
    <w:rsid w:val="007D2224"/>
    <w:rsid w:val="007D3ED1"/>
    <w:rsid w:val="007D41C0"/>
    <w:rsid w:val="007E3989"/>
    <w:rsid w:val="007E63AF"/>
    <w:rsid w:val="0080259F"/>
    <w:rsid w:val="00804D55"/>
    <w:rsid w:val="00804DB1"/>
    <w:rsid w:val="008059C6"/>
    <w:rsid w:val="0081138A"/>
    <w:rsid w:val="0081419C"/>
    <w:rsid w:val="0081783D"/>
    <w:rsid w:val="00824DD7"/>
    <w:rsid w:val="008264EB"/>
    <w:rsid w:val="008316A4"/>
    <w:rsid w:val="00836E87"/>
    <w:rsid w:val="00842121"/>
    <w:rsid w:val="0084256C"/>
    <w:rsid w:val="00844C33"/>
    <w:rsid w:val="00846379"/>
    <w:rsid w:val="008477A1"/>
    <w:rsid w:val="00847FD3"/>
    <w:rsid w:val="008502B6"/>
    <w:rsid w:val="00851DB9"/>
    <w:rsid w:val="008550A7"/>
    <w:rsid w:val="008552A6"/>
    <w:rsid w:val="00864BA6"/>
    <w:rsid w:val="008711B5"/>
    <w:rsid w:val="00872931"/>
    <w:rsid w:val="00874529"/>
    <w:rsid w:val="00876F4F"/>
    <w:rsid w:val="00877EF8"/>
    <w:rsid w:val="0088098A"/>
    <w:rsid w:val="008819BE"/>
    <w:rsid w:val="00881C8B"/>
    <w:rsid w:val="00885F70"/>
    <w:rsid w:val="008955BE"/>
    <w:rsid w:val="00895AED"/>
    <w:rsid w:val="008A07FA"/>
    <w:rsid w:val="008A448E"/>
    <w:rsid w:val="008A726A"/>
    <w:rsid w:val="008B0B84"/>
    <w:rsid w:val="008C0935"/>
    <w:rsid w:val="008C40EB"/>
    <w:rsid w:val="008D2A7D"/>
    <w:rsid w:val="008D45FE"/>
    <w:rsid w:val="008D56F5"/>
    <w:rsid w:val="008F1CC7"/>
    <w:rsid w:val="00901190"/>
    <w:rsid w:val="00902579"/>
    <w:rsid w:val="00912CB0"/>
    <w:rsid w:val="00913935"/>
    <w:rsid w:val="00922677"/>
    <w:rsid w:val="00923099"/>
    <w:rsid w:val="009234D6"/>
    <w:rsid w:val="009252FC"/>
    <w:rsid w:val="009253C0"/>
    <w:rsid w:val="00930641"/>
    <w:rsid w:val="00930C3F"/>
    <w:rsid w:val="009400E5"/>
    <w:rsid w:val="00941B4B"/>
    <w:rsid w:val="00953385"/>
    <w:rsid w:val="00954CD2"/>
    <w:rsid w:val="00956577"/>
    <w:rsid w:val="00966015"/>
    <w:rsid w:val="00972DDC"/>
    <w:rsid w:val="00974174"/>
    <w:rsid w:val="00977D11"/>
    <w:rsid w:val="0098205C"/>
    <w:rsid w:val="00990375"/>
    <w:rsid w:val="00995799"/>
    <w:rsid w:val="00995DC2"/>
    <w:rsid w:val="009A08F0"/>
    <w:rsid w:val="009A3A14"/>
    <w:rsid w:val="009A662F"/>
    <w:rsid w:val="009B2D4F"/>
    <w:rsid w:val="009B326F"/>
    <w:rsid w:val="009B53E8"/>
    <w:rsid w:val="009C16BD"/>
    <w:rsid w:val="009C2BD3"/>
    <w:rsid w:val="009D7BBE"/>
    <w:rsid w:val="009D7C85"/>
    <w:rsid w:val="009E0988"/>
    <w:rsid w:val="009E4B85"/>
    <w:rsid w:val="009F4586"/>
    <w:rsid w:val="009F53B2"/>
    <w:rsid w:val="00A143EC"/>
    <w:rsid w:val="00A15436"/>
    <w:rsid w:val="00A20E17"/>
    <w:rsid w:val="00A21ED4"/>
    <w:rsid w:val="00A22965"/>
    <w:rsid w:val="00A23C2D"/>
    <w:rsid w:val="00A24CF1"/>
    <w:rsid w:val="00A25072"/>
    <w:rsid w:val="00A27079"/>
    <w:rsid w:val="00A30487"/>
    <w:rsid w:val="00A4095B"/>
    <w:rsid w:val="00A4512D"/>
    <w:rsid w:val="00A47F3D"/>
    <w:rsid w:val="00A53CB6"/>
    <w:rsid w:val="00A634AC"/>
    <w:rsid w:val="00A65091"/>
    <w:rsid w:val="00A672E8"/>
    <w:rsid w:val="00A705AF"/>
    <w:rsid w:val="00A706C0"/>
    <w:rsid w:val="00A723E3"/>
    <w:rsid w:val="00A724C2"/>
    <w:rsid w:val="00A802AB"/>
    <w:rsid w:val="00A80A65"/>
    <w:rsid w:val="00A96813"/>
    <w:rsid w:val="00A97922"/>
    <w:rsid w:val="00AA2FA7"/>
    <w:rsid w:val="00AA718C"/>
    <w:rsid w:val="00AA7472"/>
    <w:rsid w:val="00AB1E71"/>
    <w:rsid w:val="00AB3460"/>
    <w:rsid w:val="00AB39B2"/>
    <w:rsid w:val="00AB58DE"/>
    <w:rsid w:val="00AC78C1"/>
    <w:rsid w:val="00AE3EDB"/>
    <w:rsid w:val="00AE5790"/>
    <w:rsid w:val="00AE5DC6"/>
    <w:rsid w:val="00AF722A"/>
    <w:rsid w:val="00B0096F"/>
    <w:rsid w:val="00B01A49"/>
    <w:rsid w:val="00B062AA"/>
    <w:rsid w:val="00B077CF"/>
    <w:rsid w:val="00B0792F"/>
    <w:rsid w:val="00B26750"/>
    <w:rsid w:val="00B350FD"/>
    <w:rsid w:val="00B3552F"/>
    <w:rsid w:val="00B3568A"/>
    <w:rsid w:val="00B42851"/>
    <w:rsid w:val="00B526CF"/>
    <w:rsid w:val="00B56576"/>
    <w:rsid w:val="00B57826"/>
    <w:rsid w:val="00B578BD"/>
    <w:rsid w:val="00B603E9"/>
    <w:rsid w:val="00B605DA"/>
    <w:rsid w:val="00B665A7"/>
    <w:rsid w:val="00B83678"/>
    <w:rsid w:val="00B856AF"/>
    <w:rsid w:val="00B948E3"/>
    <w:rsid w:val="00B962DC"/>
    <w:rsid w:val="00BA488F"/>
    <w:rsid w:val="00BA57A0"/>
    <w:rsid w:val="00BA6382"/>
    <w:rsid w:val="00BA69AD"/>
    <w:rsid w:val="00BA6ED2"/>
    <w:rsid w:val="00BB7825"/>
    <w:rsid w:val="00BC2B0B"/>
    <w:rsid w:val="00BD0265"/>
    <w:rsid w:val="00BD7448"/>
    <w:rsid w:val="00BE2618"/>
    <w:rsid w:val="00BF7350"/>
    <w:rsid w:val="00C14713"/>
    <w:rsid w:val="00C428D6"/>
    <w:rsid w:val="00C47688"/>
    <w:rsid w:val="00C502B4"/>
    <w:rsid w:val="00C52B3C"/>
    <w:rsid w:val="00C55CB0"/>
    <w:rsid w:val="00C57C83"/>
    <w:rsid w:val="00C61211"/>
    <w:rsid w:val="00C66862"/>
    <w:rsid w:val="00C71E87"/>
    <w:rsid w:val="00C74471"/>
    <w:rsid w:val="00C74726"/>
    <w:rsid w:val="00C77AEE"/>
    <w:rsid w:val="00C82A01"/>
    <w:rsid w:val="00C907E6"/>
    <w:rsid w:val="00C90D26"/>
    <w:rsid w:val="00C9125A"/>
    <w:rsid w:val="00C95CA8"/>
    <w:rsid w:val="00CA192F"/>
    <w:rsid w:val="00CA3BA2"/>
    <w:rsid w:val="00CA546D"/>
    <w:rsid w:val="00CA57A1"/>
    <w:rsid w:val="00CA7393"/>
    <w:rsid w:val="00CB3B17"/>
    <w:rsid w:val="00CB5B1A"/>
    <w:rsid w:val="00CB5EC7"/>
    <w:rsid w:val="00CC293C"/>
    <w:rsid w:val="00CD4F29"/>
    <w:rsid w:val="00CD6070"/>
    <w:rsid w:val="00CE0D60"/>
    <w:rsid w:val="00CE0D85"/>
    <w:rsid w:val="00CE513B"/>
    <w:rsid w:val="00CE63A2"/>
    <w:rsid w:val="00CF0E5E"/>
    <w:rsid w:val="00CF3172"/>
    <w:rsid w:val="00CF4997"/>
    <w:rsid w:val="00D02E59"/>
    <w:rsid w:val="00D04692"/>
    <w:rsid w:val="00D15857"/>
    <w:rsid w:val="00D15E9A"/>
    <w:rsid w:val="00D22139"/>
    <w:rsid w:val="00D2323B"/>
    <w:rsid w:val="00D318A3"/>
    <w:rsid w:val="00D34D6D"/>
    <w:rsid w:val="00D51068"/>
    <w:rsid w:val="00D52917"/>
    <w:rsid w:val="00D57BB3"/>
    <w:rsid w:val="00D64CBA"/>
    <w:rsid w:val="00D666C9"/>
    <w:rsid w:val="00D66E9C"/>
    <w:rsid w:val="00D90734"/>
    <w:rsid w:val="00D9657A"/>
    <w:rsid w:val="00D97EBB"/>
    <w:rsid w:val="00DA77EB"/>
    <w:rsid w:val="00DB169F"/>
    <w:rsid w:val="00DB174C"/>
    <w:rsid w:val="00DB33D5"/>
    <w:rsid w:val="00DB6BD3"/>
    <w:rsid w:val="00DC5084"/>
    <w:rsid w:val="00DC5105"/>
    <w:rsid w:val="00DC79B5"/>
    <w:rsid w:val="00DE1B14"/>
    <w:rsid w:val="00DF0A45"/>
    <w:rsid w:val="00DF17BE"/>
    <w:rsid w:val="00DF6F9E"/>
    <w:rsid w:val="00E12A69"/>
    <w:rsid w:val="00E13709"/>
    <w:rsid w:val="00E24BB3"/>
    <w:rsid w:val="00E25426"/>
    <w:rsid w:val="00E25BE5"/>
    <w:rsid w:val="00E26F51"/>
    <w:rsid w:val="00E415D9"/>
    <w:rsid w:val="00E424AB"/>
    <w:rsid w:val="00E45C9F"/>
    <w:rsid w:val="00E46AB2"/>
    <w:rsid w:val="00E478D4"/>
    <w:rsid w:val="00E57709"/>
    <w:rsid w:val="00E6066E"/>
    <w:rsid w:val="00E67902"/>
    <w:rsid w:val="00E73C2A"/>
    <w:rsid w:val="00E76AD8"/>
    <w:rsid w:val="00E91A08"/>
    <w:rsid w:val="00E936FD"/>
    <w:rsid w:val="00E96115"/>
    <w:rsid w:val="00E966D1"/>
    <w:rsid w:val="00EA1F7B"/>
    <w:rsid w:val="00EA42D5"/>
    <w:rsid w:val="00EA5B0B"/>
    <w:rsid w:val="00EA7104"/>
    <w:rsid w:val="00EB0343"/>
    <w:rsid w:val="00EB6280"/>
    <w:rsid w:val="00ED0AB9"/>
    <w:rsid w:val="00ED19EB"/>
    <w:rsid w:val="00ED24D2"/>
    <w:rsid w:val="00ED3876"/>
    <w:rsid w:val="00ED45E5"/>
    <w:rsid w:val="00ED72A2"/>
    <w:rsid w:val="00EE2E2D"/>
    <w:rsid w:val="00EE568C"/>
    <w:rsid w:val="00F069E9"/>
    <w:rsid w:val="00F22512"/>
    <w:rsid w:val="00F266DF"/>
    <w:rsid w:val="00F32899"/>
    <w:rsid w:val="00F35701"/>
    <w:rsid w:val="00F366F4"/>
    <w:rsid w:val="00F37448"/>
    <w:rsid w:val="00F42E20"/>
    <w:rsid w:val="00F45138"/>
    <w:rsid w:val="00F4709A"/>
    <w:rsid w:val="00F516CD"/>
    <w:rsid w:val="00F532A1"/>
    <w:rsid w:val="00F602A5"/>
    <w:rsid w:val="00F61412"/>
    <w:rsid w:val="00F619D2"/>
    <w:rsid w:val="00F642A2"/>
    <w:rsid w:val="00F6689D"/>
    <w:rsid w:val="00F7198F"/>
    <w:rsid w:val="00F7464B"/>
    <w:rsid w:val="00F76613"/>
    <w:rsid w:val="00F8119C"/>
    <w:rsid w:val="00F81BFD"/>
    <w:rsid w:val="00F82771"/>
    <w:rsid w:val="00F87142"/>
    <w:rsid w:val="00F9469F"/>
    <w:rsid w:val="00F94983"/>
    <w:rsid w:val="00F952B1"/>
    <w:rsid w:val="00FA644B"/>
    <w:rsid w:val="00FB14B1"/>
    <w:rsid w:val="00FB6B24"/>
    <w:rsid w:val="00FB72F7"/>
    <w:rsid w:val="00FC30CE"/>
    <w:rsid w:val="00FD5693"/>
    <w:rsid w:val="00FD579A"/>
    <w:rsid w:val="00FE3D40"/>
    <w:rsid w:val="00FF1A01"/>
    <w:rsid w:val="00FF341C"/>
    <w:rsid w:val="00FF5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6E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3E"/>
    <w:pPr>
      <w:spacing w:after="200"/>
    </w:pPr>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A705AF"/>
    <w:pPr>
      <w:keepNext/>
      <w:spacing w:before="240" w:after="60"/>
      <w:outlineLvl w:val="0"/>
    </w:pPr>
    <w:rPr>
      <w:rFonts w:ascii="Arial" w:eastAsia="Times New Roman" w:hAnsi="Arial" w:cs="Arial"/>
      <w:b/>
      <w:bCs/>
      <w:kern w:val="28"/>
      <w:sz w:val="28"/>
      <w:szCs w:val="32"/>
      <w:lang w:eastAsia="en-US"/>
    </w:rPr>
  </w:style>
  <w:style w:type="paragraph" w:styleId="Heading2">
    <w:name w:val="heading 2"/>
    <w:basedOn w:val="Normal"/>
    <w:next w:val="Normal"/>
    <w:link w:val="Heading2Char"/>
    <w:uiPriority w:val="9"/>
    <w:qFormat/>
    <w:rsid w:val="00A705AF"/>
    <w:pPr>
      <w:keepNext/>
      <w:spacing w:before="240" w:after="60"/>
      <w:outlineLvl w:val="1"/>
    </w:pPr>
    <w:rPr>
      <w:rFonts w:ascii="Arial" w:eastAsia="Times New Roman" w:hAnsi="Arial" w:cs="Arial"/>
      <w:b/>
      <w:bCs/>
      <w:i/>
      <w:iCs/>
      <w:szCs w:val="28"/>
      <w:lang w:eastAsia="en-US"/>
    </w:rPr>
  </w:style>
  <w:style w:type="paragraph" w:styleId="Heading3">
    <w:name w:val="heading 3"/>
    <w:basedOn w:val="Normal"/>
    <w:next w:val="Normal"/>
    <w:link w:val="Heading3Char"/>
    <w:uiPriority w:val="9"/>
    <w:qFormat/>
    <w:rsid w:val="00A705AF"/>
    <w:pPr>
      <w:keepNext/>
      <w:spacing w:before="240" w:after="60"/>
      <w:outlineLvl w:val="2"/>
    </w:pPr>
    <w:rPr>
      <w:rFonts w:ascii="Arial" w:eastAsia="Times New Roman" w:hAnsi="Arial" w:cs="Arial"/>
      <w:bCs/>
      <w:szCs w:val="26"/>
      <w:lang w:eastAsia="en-US"/>
    </w:rPr>
  </w:style>
  <w:style w:type="paragraph" w:styleId="Heading4">
    <w:name w:val="heading 4"/>
    <w:basedOn w:val="Normal"/>
    <w:next w:val="Normal"/>
    <w:link w:val="Heading4Char"/>
    <w:uiPriority w:val="9"/>
    <w:qFormat/>
    <w:rsid w:val="00A705AF"/>
    <w:pPr>
      <w:keepNext/>
      <w:spacing w:before="240" w:after="60"/>
      <w:outlineLvl w:val="3"/>
    </w:pPr>
    <w:rPr>
      <w:rFonts w:ascii="Arial" w:eastAsia="Times New Roman" w:hAnsi="Arial" w:cs="Times New Roman"/>
      <w:bCs/>
      <w:sz w:val="28"/>
      <w:szCs w:val="28"/>
      <w:lang w:eastAsia="en-US"/>
    </w:rPr>
  </w:style>
  <w:style w:type="paragraph" w:styleId="Heading5">
    <w:name w:val="heading 5"/>
    <w:basedOn w:val="Normal"/>
    <w:next w:val="Normal"/>
    <w:qFormat/>
    <w:rsid w:val="00A705AF"/>
    <w:pPr>
      <w:keepNext/>
      <w:spacing w:before="240" w:after="60"/>
      <w:outlineLvl w:val="4"/>
    </w:pPr>
    <w:rPr>
      <w:rFonts w:ascii="Times New Roman" w:eastAsia="Times New Roman" w:hAnsi="Times New Roman" w:cs="Times New Roman"/>
      <w:b/>
      <w:bCs/>
      <w:iCs/>
      <w:szCs w:val="26"/>
      <w:lang w:eastAsia="en-US"/>
    </w:rPr>
  </w:style>
  <w:style w:type="paragraph" w:styleId="Heading6">
    <w:name w:val="heading 6"/>
    <w:basedOn w:val="Normal"/>
    <w:next w:val="Normal"/>
    <w:qFormat/>
    <w:rsid w:val="00A705AF"/>
    <w:pPr>
      <w:keepNext/>
      <w:spacing w:before="240" w:after="60"/>
      <w:outlineLvl w:val="5"/>
    </w:pPr>
    <w:rPr>
      <w:rFonts w:ascii="Times New Roman" w:eastAsia="Times New Roman" w:hAnsi="Times New Roman" w:cs="Times New Roman"/>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spacing w:after="0"/>
    </w:pPr>
    <w:rPr>
      <w:rFonts w:asciiTheme="majorHAnsi" w:eastAsiaTheme="majorEastAsia" w:hAnsiTheme="majorHAnsi" w:cstheme="majorBidi"/>
      <w:iCs/>
      <w:spacing w:val="15"/>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uiPriority w:val="10"/>
    <w:rsid w:val="00A705AF"/>
    <w:rPr>
      <w:rFonts w:ascii="Arial" w:eastAsiaTheme="majorEastAsia" w:hAnsi="Arial" w:cstheme="majorBidi"/>
      <w:b/>
      <w:kern w:val="28"/>
      <w:sz w:val="32"/>
      <w:szCs w:val="52"/>
      <w:lang w:eastAsia="en-US"/>
    </w:rPr>
  </w:style>
  <w:style w:type="paragraph" w:styleId="NoSpacing">
    <w:name w:val="No Spacing"/>
    <w:aliases w:val="Figure foote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spacing w:after="0"/>
    </w:pPr>
    <w:rPr>
      <w:rFonts w:ascii="Times New Roman" w:eastAsia="Times New Roman" w:hAnsi="Times New Roman" w:cs="Times New Roman"/>
      <w:i/>
      <w:iCs/>
      <w:color w:val="000000" w:themeColor="text1"/>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rFonts w:ascii="Times New Roman" w:eastAsia="Times New Roman" w:hAnsi="Times New Roman" w:cs="Times New Roman"/>
      <w:b/>
      <w:bCs/>
      <w:i/>
      <w:iCs/>
      <w:color w:val="4F81BD" w:themeColor="accent1"/>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Footnote,BulletPoints,List Paragraph1,Recommendation,A List Paragraph"/>
    <w:basedOn w:val="Normal"/>
    <w:link w:val="ListParagraphChar"/>
    <w:uiPriority w:val="34"/>
    <w:qFormat/>
    <w:rsid w:val="00A4512D"/>
    <w:pPr>
      <w:spacing w:after="0"/>
      <w:ind w:left="720"/>
      <w:contextualSpacing/>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2D6E3E"/>
    <w:rPr>
      <w:rFonts w:ascii="Arial" w:hAnsi="Arial" w:cs="Arial"/>
      <w:b/>
      <w:bCs/>
      <w:kern w:val="28"/>
      <w:sz w:val="28"/>
      <w:szCs w:val="32"/>
      <w:lang w:eastAsia="en-US"/>
    </w:rPr>
  </w:style>
  <w:style w:type="character" w:customStyle="1" w:styleId="Heading3Char">
    <w:name w:val="Heading 3 Char"/>
    <w:basedOn w:val="DefaultParagraphFont"/>
    <w:link w:val="Heading3"/>
    <w:uiPriority w:val="9"/>
    <w:rsid w:val="002D6E3E"/>
    <w:rPr>
      <w:rFonts w:ascii="Arial" w:hAnsi="Arial" w:cs="Arial"/>
      <w:bCs/>
      <w:sz w:val="24"/>
      <w:szCs w:val="26"/>
      <w:lang w:eastAsia="en-US"/>
    </w:rPr>
  </w:style>
  <w:style w:type="character" w:customStyle="1" w:styleId="Heading4Char">
    <w:name w:val="Heading 4 Char"/>
    <w:basedOn w:val="DefaultParagraphFont"/>
    <w:link w:val="Heading4"/>
    <w:uiPriority w:val="9"/>
    <w:rsid w:val="002D6E3E"/>
    <w:rPr>
      <w:rFonts w:ascii="Arial" w:hAnsi="Arial"/>
      <w:bCs/>
      <w:sz w:val="28"/>
      <w:szCs w:val="28"/>
      <w:lang w:eastAsia="en-US"/>
    </w:rPr>
  </w:style>
  <w:style w:type="table" w:styleId="TableGrid">
    <w:name w:val="Table Grid"/>
    <w:basedOn w:val="TableNormal"/>
    <w:uiPriority w:val="59"/>
    <w:rsid w:val="002D6E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D6E3E"/>
    <w:pPr>
      <w:autoSpaceDE w:val="0"/>
      <w:autoSpaceDN w:val="0"/>
      <w:adjustRightInd w:val="0"/>
      <w:spacing w:before="60" w:after="60"/>
      <w:jc w:val="center"/>
    </w:pPr>
    <w:rPr>
      <w:rFonts w:cs="Calibri"/>
      <w:b/>
    </w:rPr>
  </w:style>
  <w:style w:type="paragraph" w:customStyle="1" w:styleId="Notes">
    <w:name w:val="Notes"/>
    <w:basedOn w:val="Normal"/>
    <w:qFormat/>
    <w:rsid w:val="002D6E3E"/>
    <w:rPr>
      <w:rFonts w:cs="Baskerville"/>
      <w:sz w:val="20"/>
      <w:szCs w:val="20"/>
    </w:rPr>
  </w:style>
  <w:style w:type="paragraph" w:customStyle="1" w:styleId="Tabletitle">
    <w:name w:val="Table title"/>
    <w:basedOn w:val="Heading4"/>
    <w:link w:val="TabletitleChar"/>
    <w:qFormat/>
    <w:rsid w:val="002D6E3E"/>
    <w:pPr>
      <w:keepNext w:val="0"/>
      <w:spacing w:after="20"/>
    </w:pPr>
    <w:rPr>
      <w:rFonts w:asciiTheme="minorHAnsi" w:eastAsiaTheme="minorEastAsia" w:hAnsiTheme="minorHAnsi" w:cstheme="minorBidi"/>
      <w:b/>
      <w:bCs w:val="0"/>
      <w:sz w:val="24"/>
      <w:szCs w:val="24"/>
    </w:rPr>
  </w:style>
  <w:style w:type="paragraph" w:customStyle="1" w:styleId="Figurecaption">
    <w:name w:val="Figure caption"/>
    <w:basedOn w:val="Normal"/>
    <w:link w:val="FigurecaptionChar"/>
    <w:qFormat/>
    <w:rsid w:val="002D6E3E"/>
    <w:pPr>
      <w:spacing w:before="60" w:after="60"/>
    </w:pPr>
    <w:rPr>
      <w:sz w:val="20"/>
      <w:szCs w:val="20"/>
      <w:lang w:eastAsia="en-US"/>
    </w:rPr>
  </w:style>
  <w:style w:type="character" w:customStyle="1" w:styleId="FigurecaptionChar">
    <w:name w:val="Figure caption Char"/>
    <w:basedOn w:val="DefaultParagraphFont"/>
    <w:link w:val="Figurecaption"/>
    <w:rsid w:val="002D6E3E"/>
    <w:rPr>
      <w:rFonts w:asciiTheme="minorHAnsi" w:eastAsiaTheme="minorEastAsia" w:hAnsiTheme="minorHAnsi" w:cstheme="minorBidi"/>
      <w:lang w:eastAsia="en-US"/>
    </w:rPr>
  </w:style>
  <w:style w:type="character" w:customStyle="1" w:styleId="TabletitleChar">
    <w:name w:val="Table title Char"/>
    <w:basedOn w:val="Heading4Char"/>
    <w:link w:val="Tabletitle"/>
    <w:rsid w:val="002D6E3E"/>
    <w:rPr>
      <w:rFonts w:asciiTheme="minorHAnsi" w:eastAsiaTheme="minorEastAsia" w:hAnsiTheme="minorHAnsi" w:cstheme="minorBidi"/>
      <w:b/>
      <w:bCs w:val="0"/>
      <w:sz w:val="24"/>
      <w:szCs w:val="24"/>
      <w:lang w:eastAsia="en-US"/>
    </w:rPr>
  </w:style>
  <w:style w:type="paragraph" w:customStyle="1" w:styleId="Figuretitle">
    <w:name w:val="Figure title"/>
    <w:basedOn w:val="Tabletitle"/>
    <w:link w:val="FiguretitleChar"/>
    <w:qFormat/>
    <w:rsid w:val="002D6E3E"/>
    <w:pPr>
      <w:spacing w:before="60" w:after="60"/>
    </w:pPr>
    <w:rPr>
      <w:lang w:val="en-US"/>
    </w:rPr>
  </w:style>
  <w:style w:type="character" w:customStyle="1" w:styleId="FiguretitleChar">
    <w:name w:val="Figure title Char"/>
    <w:basedOn w:val="TabletitleChar"/>
    <w:link w:val="Figuretitle"/>
    <w:rsid w:val="002D6E3E"/>
    <w:rPr>
      <w:rFonts w:asciiTheme="minorHAnsi" w:eastAsiaTheme="minorEastAsia" w:hAnsiTheme="minorHAnsi" w:cstheme="minorBidi"/>
      <w:b/>
      <w:bCs w:val="0"/>
      <w:sz w:val="24"/>
      <w:szCs w:val="24"/>
      <w:lang w:val="en-US" w:eastAsia="en-US"/>
    </w:rPr>
  </w:style>
  <w:style w:type="character" w:customStyle="1" w:styleId="Heading2Char">
    <w:name w:val="Heading 2 Char"/>
    <w:basedOn w:val="DefaultParagraphFont"/>
    <w:link w:val="Heading2"/>
    <w:uiPriority w:val="9"/>
    <w:rsid w:val="00F8119C"/>
    <w:rPr>
      <w:rFonts w:ascii="Arial" w:hAnsi="Arial" w:cs="Arial"/>
      <w:b/>
      <w:bCs/>
      <w:i/>
      <w:iCs/>
      <w:sz w:val="24"/>
      <w:szCs w:val="28"/>
      <w:lang w:eastAsia="en-US"/>
    </w:rPr>
  </w:style>
  <w:style w:type="paragraph" w:styleId="Header">
    <w:name w:val="header"/>
    <w:basedOn w:val="Normal"/>
    <w:link w:val="HeaderChar"/>
    <w:rsid w:val="00A802AB"/>
    <w:pPr>
      <w:tabs>
        <w:tab w:val="center" w:pos="4513"/>
        <w:tab w:val="right" w:pos="9026"/>
      </w:tabs>
      <w:spacing w:after="0"/>
    </w:pPr>
  </w:style>
  <w:style w:type="character" w:customStyle="1" w:styleId="HeaderChar">
    <w:name w:val="Header Char"/>
    <w:basedOn w:val="DefaultParagraphFont"/>
    <w:link w:val="Header"/>
    <w:rsid w:val="00A802AB"/>
    <w:rPr>
      <w:rFonts w:asciiTheme="minorHAnsi" w:eastAsiaTheme="minorEastAsia" w:hAnsiTheme="minorHAnsi" w:cstheme="minorBidi"/>
      <w:sz w:val="24"/>
      <w:szCs w:val="24"/>
    </w:rPr>
  </w:style>
  <w:style w:type="paragraph" w:styleId="Footer">
    <w:name w:val="footer"/>
    <w:basedOn w:val="Normal"/>
    <w:link w:val="FooterChar"/>
    <w:uiPriority w:val="99"/>
    <w:rsid w:val="00A802AB"/>
    <w:pPr>
      <w:tabs>
        <w:tab w:val="center" w:pos="4513"/>
        <w:tab w:val="right" w:pos="9026"/>
      </w:tabs>
      <w:spacing w:after="0"/>
    </w:pPr>
  </w:style>
  <w:style w:type="character" w:customStyle="1" w:styleId="FooterChar">
    <w:name w:val="Footer Char"/>
    <w:basedOn w:val="DefaultParagraphFont"/>
    <w:link w:val="Footer"/>
    <w:uiPriority w:val="99"/>
    <w:rsid w:val="00A802AB"/>
    <w:rPr>
      <w:rFonts w:asciiTheme="minorHAnsi" w:eastAsiaTheme="minorEastAsia" w:hAnsiTheme="minorHAnsi" w:cstheme="minorBidi"/>
      <w:sz w:val="24"/>
      <w:szCs w:val="24"/>
    </w:rPr>
  </w:style>
  <w:style w:type="paragraph" w:styleId="BalloonText">
    <w:name w:val="Balloon Text"/>
    <w:basedOn w:val="Normal"/>
    <w:link w:val="BalloonTextChar"/>
    <w:semiHidden/>
    <w:unhideWhenUsed/>
    <w:rsid w:val="0003234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32349"/>
    <w:rPr>
      <w:rFonts w:ascii="Segoe UI" w:eastAsiaTheme="minorEastAsia" w:hAnsi="Segoe UI" w:cs="Segoe UI"/>
      <w:sz w:val="18"/>
      <w:szCs w:val="18"/>
    </w:rPr>
  </w:style>
  <w:style w:type="paragraph" w:styleId="TOCHeading">
    <w:name w:val="TOC Heading"/>
    <w:basedOn w:val="Heading1"/>
    <w:next w:val="Normal"/>
    <w:uiPriority w:val="39"/>
    <w:unhideWhenUsed/>
    <w:qFormat/>
    <w:rsid w:val="00032349"/>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styleId="TOC1">
    <w:name w:val="toc 1"/>
    <w:basedOn w:val="Normal"/>
    <w:next w:val="Normal"/>
    <w:autoRedefine/>
    <w:uiPriority w:val="39"/>
    <w:unhideWhenUsed/>
    <w:rsid w:val="003D7ED2"/>
    <w:pPr>
      <w:tabs>
        <w:tab w:val="right" w:leader="dot" w:pos="9016"/>
      </w:tabs>
      <w:spacing w:after="100"/>
    </w:pPr>
  </w:style>
  <w:style w:type="paragraph" w:styleId="TOC2">
    <w:name w:val="toc 2"/>
    <w:basedOn w:val="Normal"/>
    <w:next w:val="Normal"/>
    <w:autoRedefine/>
    <w:uiPriority w:val="39"/>
    <w:unhideWhenUsed/>
    <w:rsid w:val="00032349"/>
    <w:pPr>
      <w:spacing w:after="100"/>
      <w:ind w:left="240"/>
    </w:pPr>
  </w:style>
  <w:style w:type="character" w:styleId="Hyperlink">
    <w:name w:val="Hyperlink"/>
    <w:basedOn w:val="DefaultParagraphFont"/>
    <w:uiPriority w:val="99"/>
    <w:unhideWhenUsed/>
    <w:rsid w:val="00032349"/>
    <w:rPr>
      <w:color w:val="0000FF" w:themeColor="hyperlink"/>
      <w:u w:val="single"/>
    </w:rPr>
  </w:style>
  <w:style w:type="character" w:customStyle="1" w:styleId="ListParagraphChar">
    <w:name w:val="List Paragraph Char"/>
    <w:aliases w:val="Footnote Char,BulletPoints Char,List Paragraph1 Char,Recommendation Char,A List Paragraph Char"/>
    <w:link w:val="ListParagraph"/>
    <w:uiPriority w:val="34"/>
    <w:locked/>
    <w:rsid w:val="001C7948"/>
    <w:rPr>
      <w:sz w:val="24"/>
      <w:szCs w:val="24"/>
      <w:lang w:eastAsia="en-US"/>
    </w:rPr>
  </w:style>
  <w:style w:type="character" w:customStyle="1" w:styleId="UnresolvedMention1">
    <w:name w:val="Unresolved Mention1"/>
    <w:basedOn w:val="DefaultParagraphFont"/>
    <w:uiPriority w:val="99"/>
    <w:semiHidden/>
    <w:unhideWhenUsed/>
    <w:rsid w:val="003D64B1"/>
    <w:rPr>
      <w:color w:val="605E5C"/>
      <w:shd w:val="clear" w:color="auto" w:fill="E1DFDD"/>
    </w:rPr>
  </w:style>
  <w:style w:type="paragraph" w:styleId="TOC3">
    <w:name w:val="toc 3"/>
    <w:basedOn w:val="Normal"/>
    <w:next w:val="Normal"/>
    <w:autoRedefine/>
    <w:uiPriority w:val="39"/>
    <w:unhideWhenUsed/>
    <w:rsid w:val="00D15E9A"/>
    <w:pPr>
      <w:spacing w:after="100"/>
      <w:ind w:left="480"/>
    </w:pPr>
  </w:style>
  <w:style w:type="paragraph" w:styleId="Caption">
    <w:name w:val="caption"/>
    <w:basedOn w:val="Normal"/>
    <w:next w:val="Normal"/>
    <w:uiPriority w:val="35"/>
    <w:unhideWhenUsed/>
    <w:qFormat/>
    <w:rsid w:val="00341542"/>
    <w:rPr>
      <w:rFonts w:eastAsia="Times New Roman" w:cs="Times New Roman"/>
      <w:b/>
      <w:bCs/>
      <w:szCs w:val="18"/>
    </w:rPr>
  </w:style>
  <w:style w:type="character" w:styleId="CommentReference">
    <w:name w:val="annotation reference"/>
    <w:aliases w:val="Table Title"/>
    <w:basedOn w:val="DefaultParagraphFont"/>
    <w:unhideWhenUsed/>
    <w:rsid w:val="009253C0"/>
    <w:rPr>
      <w:sz w:val="16"/>
      <w:szCs w:val="16"/>
    </w:rPr>
  </w:style>
  <w:style w:type="paragraph" w:styleId="CommentText">
    <w:name w:val="annotation text"/>
    <w:basedOn w:val="Normal"/>
    <w:link w:val="CommentTextChar"/>
    <w:uiPriority w:val="99"/>
    <w:unhideWhenUsed/>
    <w:rsid w:val="006B5FB9"/>
    <w:rPr>
      <w:sz w:val="20"/>
      <w:szCs w:val="20"/>
    </w:rPr>
  </w:style>
  <w:style w:type="character" w:customStyle="1" w:styleId="CommentTextChar">
    <w:name w:val="Comment Text Char"/>
    <w:basedOn w:val="DefaultParagraphFont"/>
    <w:link w:val="CommentText"/>
    <w:uiPriority w:val="99"/>
    <w:rsid w:val="006B5FB9"/>
    <w:rPr>
      <w:rFonts w:asciiTheme="minorHAnsi" w:eastAsiaTheme="minorEastAsia" w:hAnsiTheme="minorHAnsi" w:cstheme="minorBidi"/>
    </w:rPr>
  </w:style>
  <w:style w:type="paragraph" w:styleId="CommentSubject">
    <w:name w:val="annotation subject"/>
    <w:basedOn w:val="CommentText"/>
    <w:next w:val="CommentText"/>
    <w:link w:val="CommentSubjectChar"/>
    <w:semiHidden/>
    <w:unhideWhenUsed/>
    <w:rsid w:val="006B5FB9"/>
    <w:rPr>
      <w:b/>
      <w:bCs/>
    </w:rPr>
  </w:style>
  <w:style w:type="character" w:customStyle="1" w:styleId="CommentSubjectChar">
    <w:name w:val="Comment Subject Char"/>
    <w:basedOn w:val="CommentTextChar"/>
    <w:link w:val="CommentSubject"/>
    <w:semiHidden/>
    <w:rsid w:val="006B5FB9"/>
    <w:rPr>
      <w:rFonts w:asciiTheme="minorHAnsi" w:eastAsiaTheme="minorEastAsia" w:hAnsiTheme="minorHAnsi" w:cstheme="minorBidi"/>
      <w:b/>
      <w:bCs/>
    </w:rPr>
  </w:style>
  <w:style w:type="paragraph" w:styleId="Revision">
    <w:name w:val="Revision"/>
    <w:hidden/>
    <w:uiPriority w:val="99"/>
    <w:semiHidden/>
    <w:rsid w:val="007E63AF"/>
    <w:rPr>
      <w:rFonts w:asciiTheme="minorHAnsi" w:eastAsiaTheme="minorEastAsia" w:hAnsiTheme="minorHAnsi" w:cstheme="minorBidi"/>
      <w:sz w:val="24"/>
      <w:szCs w:val="24"/>
    </w:rPr>
  </w:style>
  <w:style w:type="paragraph" w:customStyle="1" w:styleId="Default">
    <w:name w:val="Default"/>
    <w:rsid w:val="00A47F3D"/>
    <w:pPr>
      <w:widowControl w:val="0"/>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A47F3D"/>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A47F3D"/>
    <w:rPr>
      <w:rFonts w:ascii="Calibri" w:hAnsi="Calibri"/>
    </w:rPr>
  </w:style>
  <w:style w:type="character" w:styleId="FootnoteReference">
    <w:name w:val="footnote reference"/>
    <w:uiPriority w:val="99"/>
    <w:unhideWhenUsed/>
    <w:rsid w:val="00A47F3D"/>
    <w:rPr>
      <w:vertAlign w:val="superscript"/>
    </w:rPr>
  </w:style>
  <w:style w:type="character" w:styleId="FollowedHyperlink">
    <w:name w:val="FollowedHyperlink"/>
    <w:basedOn w:val="DefaultParagraphFont"/>
    <w:semiHidden/>
    <w:unhideWhenUsed/>
    <w:rsid w:val="00BA6382"/>
    <w:rPr>
      <w:color w:val="800080" w:themeColor="followedHyperlink"/>
      <w:u w:val="single"/>
    </w:rPr>
  </w:style>
  <w:style w:type="paragraph" w:customStyle="1" w:styleId="MDSubheading">
    <w:name w:val="MD_Subheading"/>
    <w:basedOn w:val="Heading2"/>
    <w:next w:val="Normal"/>
    <w:link w:val="MDSubheadingChar"/>
    <w:qFormat/>
    <w:rsid w:val="00B56576"/>
    <w:pPr>
      <w:keepLines/>
      <w:spacing w:after="200"/>
    </w:pPr>
    <w:rPr>
      <w:rFonts w:ascii="Calibri" w:eastAsiaTheme="majorEastAsia" w:hAnsi="Calibri" w:cstheme="majorBidi"/>
      <w:i w:val="0"/>
      <w:color w:val="548DD4" w:themeColor="text2" w:themeTint="99"/>
      <w:sz w:val="32"/>
      <w:szCs w:val="32"/>
      <w:lang w:eastAsia="en-AU"/>
    </w:rPr>
  </w:style>
  <w:style w:type="character" w:customStyle="1" w:styleId="MDSubheadingChar">
    <w:name w:val="MD_Subheading Char"/>
    <w:basedOn w:val="DefaultParagraphFont"/>
    <w:link w:val="MDSubheading"/>
    <w:rsid w:val="00B56576"/>
    <w:rPr>
      <w:rFonts w:ascii="Calibri" w:eastAsiaTheme="majorEastAsia" w:hAnsi="Calibri" w:cstheme="majorBidi"/>
      <w:b/>
      <w:bCs/>
      <w:iCs/>
      <w:color w:val="548DD4" w:themeColor="text2" w:themeTint="9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653">
      <w:bodyDiv w:val="1"/>
      <w:marLeft w:val="0"/>
      <w:marRight w:val="0"/>
      <w:marTop w:val="0"/>
      <w:marBottom w:val="0"/>
      <w:divBdr>
        <w:top w:val="none" w:sz="0" w:space="0" w:color="auto"/>
        <w:left w:val="none" w:sz="0" w:space="0" w:color="auto"/>
        <w:bottom w:val="none" w:sz="0" w:space="0" w:color="auto"/>
        <w:right w:val="none" w:sz="0" w:space="0" w:color="auto"/>
      </w:divBdr>
    </w:div>
    <w:div w:id="80495059">
      <w:bodyDiv w:val="1"/>
      <w:marLeft w:val="0"/>
      <w:marRight w:val="0"/>
      <w:marTop w:val="0"/>
      <w:marBottom w:val="0"/>
      <w:divBdr>
        <w:top w:val="none" w:sz="0" w:space="0" w:color="auto"/>
        <w:left w:val="none" w:sz="0" w:space="0" w:color="auto"/>
        <w:bottom w:val="none" w:sz="0" w:space="0" w:color="auto"/>
        <w:right w:val="none" w:sz="0" w:space="0" w:color="auto"/>
      </w:divBdr>
    </w:div>
    <w:div w:id="95059554">
      <w:bodyDiv w:val="1"/>
      <w:marLeft w:val="0"/>
      <w:marRight w:val="0"/>
      <w:marTop w:val="0"/>
      <w:marBottom w:val="0"/>
      <w:divBdr>
        <w:top w:val="none" w:sz="0" w:space="0" w:color="auto"/>
        <w:left w:val="none" w:sz="0" w:space="0" w:color="auto"/>
        <w:bottom w:val="none" w:sz="0" w:space="0" w:color="auto"/>
        <w:right w:val="none" w:sz="0" w:space="0" w:color="auto"/>
      </w:divBdr>
    </w:div>
    <w:div w:id="141191345">
      <w:bodyDiv w:val="1"/>
      <w:marLeft w:val="0"/>
      <w:marRight w:val="0"/>
      <w:marTop w:val="0"/>
      <w:marBottom w:val="0"/>
      <w:divBdr>
        <w:top w:val="none" w:sz="0" w:space="0" w:color="auto"/>
        <w:left w:val="none" w:sz="0" w:space="0" w:color="auto"/>
        <w:bottom w:val="none" w:sz="0" w:space="0" w:color="auto"/>
        <w:right w:val="none" w:sz="0" w:space="0" w:color="auto"/>
      </w:divBdr>
    </w:div>
    <w:div w:id="219249313">
      <w:bodyDiv w:val="1"/>
      <w:marLeft w:val="0"/>
      <w:marRight w:val="0"/>
      <w:marTop w:val="0"/>
      <w:marBottom w:val="0"/>
      <w:divBdr>
        <w:top w:val="none" w:sz="0" w:space="0" w:color="auto"/>
        <w:left w:val="none" w:sz="0" w:space="0" w:color="auto"/>
        <w:bottom w:val="none" w:sz="0" w:space="0" w:color="auto"/>
        <w:right w:val="none" w:sz="0" w:space="0" w:color="auto"/>
      </w:divBdr>
    </w:div>
    <w:div w:id="225334433">
      <w:bodyDiv w:val="1"/>
      <w:marLeft w:val="0"/>
      <w:marRight w:val="0"/>
      <w:marTop w:val="0"/>
      <w:marBottom w:val="0"/>
      <w:divBdr>
        <w:top w:val="none" w:sz="0" w:space="0" w:color="auto"/>
        <w:left w:val="none" w:sz="0" w:space="0" w:color="auto"/>
        <w:bottom w:val="none" w:sz="0" w:space="0" w:color="auto"/>
        <w:right w:val="none" w:sz="0" w:space="0" w:color="auto"/>
      </w:divBdr>
    </w:div>
    <w:div w:id="236861233">
      <w:bodyDiv w:val="1"/>
      <w:marLeft w:val="0"/>
      <w:marRight w:val="0"/>
      <w:marTop w:val="0"/>
      <w:marBottom w:val="0"/>
      <w:divBdr>
        <w:top w:val="none" w:sz="0" w:space="0" w:color="auto"/>
        <w:left w:val="none" w:sz="0" w:space="0" w:color="auto"/>
        <w:bottom w:val="none" w:sz="0" w:space="0" w:color="auto"/>
        <w:right w:val="none" w:sz="0" w:space="0" w:color="auto"/>
      </w:divBdr>
    </w:div>
    <w:div w:id="247082774">
      <w:bodyDiv w:val="1"/>
      <w:marLeft w:val="0"/>
      <w:marRight w:val="0"/>
      <w:marTop w:val="0"/>
      <w:marBottom w:val="0"/>
      <w:divBdr>
        <w:top w:val="none" w:sz="0" w:space="0" w:color="auto"/>
        <w:left w:val="none" w:sz="0" w:space="0" w:color="auto"/>
        <w:bottom w:val="none" w:sz="0" w:space="0" w:color="auto"/>
        <w:right w:val="none" w:sz="0" w:space="0" w:color="auto"/>
      </w:divBdr>
    </w:div>
    <w:div w:id="340012131">
      <w:bodyDiv w:val="1"/>
      <w:marLeft w:val="0"/>
      <w:marRight w:val="0"/>
      <w:marTop w:val="0"/>
      <w:marBottom w:val="0"/>
      <w:divBdr>
        <w:top w:val="none" w:sz="0" w:space="0" w:color="auto"/>
        <w:left w:val="none" w:sz="0" w:space="0" w:color="auto"/>
        <w:bottom w:val="none" w:sz="0" w:space="0" w:color="auto"/>
        <w:right w:val="none" w:sz="0" w:space="0" w:color="auto"/>
      </w:divBdr>
    </w:div>
    <w:div w:id="406000297">
      <w:bodyDiv w:val="1"/>
      <w:marLeft w:val="0"/>
      <w:marRight w:val="0"/>
      <w:marTop w:val="0"/>
      <w:marBottom w:val="0"/>
      <w:divBdr>
        <w:top w:val="none" w:sz="0" w:space="0" w:color="auto"/>
        <w:left w:val="none" w:sz="0" w:space="0" w:color="auto"/>
        <w:bottom w:val="none" w:sz="0" w:space="0" w:color="auto"/>
        <w:right w:val="none" w:sz="0" w:space="0" w:color="auto"/>
      </w:divBdr>
    </w:div>
    <w:div w:id="473718291">
      <w:bodyDiv w:val="1"/>
      <w:marLeft w:val="0"/>
      <w:marRight w:val="0"/>
      <w:marTop w:val="0"/>
      <w:marBottom w:val="0"/>
      <w:divBdr>
        <w:top w:val="none" w:sz="0" w:space="0" w:color="auto"/>
        <w:left w:val="none" w:sz="0" w:space="0" w:color="auto"/>
        <w:bottom w:val="none" w:sz="0" w:space="0" w:color="auto"/>
        <w:right w:val="none" w:sz="0" w:space="0" w:color="auto"/>
      </w:divBdr>
    </w:div>
    <w:div w:id="497428118">
      <w:bodyDiv w:val="1"/>
      <w:marLeft w:val="0"/>
      <w:marRight w:val="0"/>
      <w:marTop w:val="0"/>
      <w:marBottom w:val="0"/>
      <w:divBdr>
        <w:top w:val="none" w:sz="0" w:space="0" w:color="auto"/>
        <w:left w:val="none" w:sz="0" w:space="0" w:color="auto"/>
        <w:bottom w:val="none" w:sz="0" w:space="0" w:color="auto"/>
        <w:right w:val="none" w:sz="0" w:space="0" w:color="auto"/>
      </w:divBdr>
    </w:div>
    <w:div w:id="552540489">
      <w:bodyDiv w:val="1"/>
      <w:marLeft w:val="0"/>
      <w:marRight w:val="0"/>
      <w:marTop w:val="0"/>
      <w:marBottom w:val="0"/>
      <w:divBdr>
        <w:top w:val="none" w:sz="0" w:space="0" w:color="auto"/>
        <w:left w:val="none" w:sz="0" w:space="0" w:color="auto"/>
        <w:bottom w:val="none" w:sz="0" w:space="0" w:color="auto"/>
        <w:right w:val="none" w:sz="0" w:space="0" w:color="auto"/>
      </w:divBdr>
    </w:div>
    <w:div w:id="607085557">
      <w:bodyDiv w:val="1"/>
      <w:marLeft w:val="0"/>
      <w:marRight w:val="0"/>
      <w:marTop w:val="0"/>
      <w:marBottom w:val="0"/>
      <w:divBdr>
        <w:top w:val="none" w:sz="0" w:space="0" w:color="auto"/>
        <w:left w:val="none" w:sz="0" w:space="0" w:color="auto"/>
        <w:bottom w:val="none" w:sz="0" w:space="0" w:color="auto"/>
        <w:right w:val="none" w:sz="0" w:space="0" w:color="auto"/>
      </w:divBdr>
    </w:div>
    <w:div w:id="629243284">
      <w:bodyDiv w:val="1"/>
      <w:marLeft w:val="0"/>
      <w:marRight w:val="0"/>
      <w:marTop w:val="0"/>
      <w:marBottom w:val="0"/>
      <w:divBdr>
        <w:top w:val="none" w:sz="0" w:space="0" w:color="auto"/>
        <w:left w:val="none" w:sz="0" w:space="0" w:color="auto"/>
        <w:bottom w:val="none" w:sz="0" w:space="0" w:color="auto"/>
        <w:right w:val="none" w:sz="0" w:space="0" w:color="auto"/>
      </w:divBdr>
    </w:div>
    <w:div w:id="650065423">
      <w:bodyDiv w:val="1"/>
      <w:marLeft w:val="0"/>
      <w:marRight w:val="0"/>
      <w:marTop w:val="0"/>
      <w:marBottom w:val="0"/>
      <w:divBdr>
        <w:top w:val="none" w:sz="0" w:space="0" w:color="auto"/>
        <w:left w:val="none" w:sz="0" w:space="0" w:color="auto"/>
        <w:bottom w:val="none" w:sz="0" w:space="0" w:color="auto"/>
        <w:right w:val="none" w:sz="0" w:space="0" w:color="auto"/>
      </w:divBdr>
    </w:div>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658310674">
      <w:bodyDiv w:val="1"/>
      <w:marLeft w:val="0"/>
      <w:marRight w:val="0"/>
      <w:marTop w:val="0"/>
      <w:marBottom w:val="0"/>
      <w:divBdr>
        <w:top w:val="none" w:sz="0" w:space="0" w:color="auto"/>
        <w:left w:val="none" w:sz="0" w:space="0" w:color="auto"/>
        <w:bottom w:val="none" w:sz="0" w:space="0" w:color="auto"/>
        <w:right w:val="none" w:sz="0" w:space="0" w:color="auto"/>
      </w:divBdr>
    </w:div>
    <w:div w:id="785654946">
      <w:bodyDiv w:val="1"/>
      <w:marLeft w:val="0"/>
      <w:marRight w:val="0"/>
      <w:marTop w:val="0"/>
      <w:marBottom w:val="0"/>
      <w:divBdr>
        <w:top w:val="none" w:sz="0" w:space="0" w:color="auto"/>
        <w:left w:val="none" w:sz="0" w:space="0" w:color="auto"/>
        <w:bottom w:val="none" w:sz="0" w:space="0" w:color="auto"/>
        <w:right w:val="none" w:sz="0" w:space="0" w:color="auto"/>
      </w:divBdr>
    </w:div>
    <w:div w:id="852378137">
      <w:bodyDiv w:val="1"/>
      <w:marLeft w:val="0"/>
      <w:marRight w:val="0"/>
      <w:marTop w:val="0"/>
      <w:marBottom w:val="0"/>
      <w:divBdr>
        <w:top w:val="none" w:sz="0" w:space="0" w:color="auto"/>
        <w:left w:val="none" w:sz="0" w:space="0" w:color="auto"/>
        <w:bottom w:val="none" w:sz="0" w:space="0" w:color="auto"/>
        <w:right w:val="none" w:sz="0" w:space="0" w:color="auto"/>
      </w:divBdr>
    </w:div>
    <w:div w:id="1096091850">
      <w:bodyDiv w:val="1"/>
      <w:marLeft w:val="0"/>
      <w:marRight w:val="0"/>
      <w:marTop w:val="0"/>
      <w:marBottom w:val="0"/>
      <w:divBdr>
        <w:top w:val="none" w:sz="0" w:space="0" w:color="auto"/>
        <w:left w:val="none" w:sz="0" w:space="0" w:color="auto"/>
        <w:bottom w:val="none" w:sz="0" w:space="0" w:color="auto"/>
        <w:right w:val="none" w:sz="0" w:space="0" w:color="auto"/>
      </w:divBdr>
    </w:div>
    <w:div w:id="1178155869">
      <w:bodyDiv w:val="1"/>
      <w:marLeft w:val="0"/>
      <w:marRight w:val="0"/>
      <w:marTop w:val="0"/>
      <w:marBottom w:val="0"/>
      <w:divBdr>
        <w:top w:val="none" w:sz="0" w:space="0" w:color="auto"/>
        <w:left w:val="none" w:sz="0" w:space="0" w:color="auto"/>
        <w:bottom w:val="none" w:sz="0" w:space="0" w:color="auto"/>
        <w:right w:val="none" w:sz="0" w:space="0" w:color="auto"/>
      </w:divBdr>
    </w:div>
    <w:div w:id="1320813865">
      <w:bodyDiv w:val="1"/>
      <w:marLeft w:val="0"/>
      <w:marRight w:val="0"/>
      <w:marTop w:val="0"/>
      <w:marBottom w:val="0"/>
      <w:divBdr>
        <w:top w:val="none" w:sz="0" w:space="0" w:color="auto"/>
        <w:left w:val="none" w:sz="0" w:space="0" w:color="auto"/>
        <w:bottom w:val="none" w:sz="0" w:space="0" w:color="auto"/>
        <w:right w:val="none" w:sz="0" w:space="0" w:color="auto"/>
      </w:divBdr>
    </w:div>
    <w:div w:id="1321692739">
      <w:bodyDiv w:val="1"/>
      <w:marLeft w:val="0"/>
      <w:marRight w:val="0"/>
      <w:marTop w:val="0"/>
      <w:marBottom w:val="0"/>
      <w:divBdr>
        <w:top w:val="none" w:sz="0" w:space="0" w:color="auto"/>
        <w:left w:val="none" w:sz="0" w:space="0" w:color="auto"/>
        <w:bottom w:val="none" w:sz="0" w:space="0" w:color="auto"/>
        <w:right w:val="none" w:sz="0" w:space="0" w:color="auto"/>
      </w:divBdr>
    </w:div>
    <w:div w:id="1360741945">
      <w:bodyDiv w:val="1"/>
      <w:marLeft w:val="0"/>
      <w:marRight w:val="0"/>
      <w:marTop w:val="0"/>
      <w:marBottom w:val="0"/>
      <w:divBdr>
        <w:top w:val="none" w:sz="0" w:space="0" w:color="auto"/>
        <w:left w:val="none" w:sz="0" w:space="0" w:color="auto"/>
        <w:bottom w:val="none" w:sz="0" w:space="0" w:color="auto"/>
        <w:right w:val="none" w:sz="0" w:space="0" w:color="auto"/>
      </w:divBdr>
    </w:div>
    <w:div w:id="1474984885">
      <w:bodyDiv w:val="1"/>
      <w:marLeft w:val="0"/>
      <w:marRight w:val="0"/>
      <w:marTop w:val="0"/>
      <w:marBottom w:val="0"/>
      <w:divBdr>
        <w:top w:val="none" w:sz="0" w:space="0" w:color="auto"/>
        <w:left w:val="none" w:sz="0" w:space="0" w:color="auto"/>
        <w:bottom w:val="none" w:sz="0" w:space="0" w:color="auto"/>
        <w:right w:val="none" w:sz="0" w:space="0" w:color="auto"/>
      </w:divBdr>
    </w:div>
    <w:div w:id="1506704059">
      <w:bodyDiv w:val="1"/>
      <w:marLeft w:val="0"/>
      <w:marRight w:val="0"/>
      <w:marTop w:val="0"/>
      <w:marBottom w:val="0"/>
      <w:divBdr>
        <w:top w:val="none" w:sz="0" w:space="0" w:color="auto"/>
        <w:left w:val="none" w:sz="0" w:space="0" w:color="auto"/>
        <w:bottom w:val="none" w:sz="0" w:space="0" w:color="auto"/>
        <w:right w:val="none" w:sz="0" w:space="0" w:color="auto"/>
      </w:divBdr>
    </w:div>
    <w:div w:id="1629430692">
      <w:bodyDiv w:val="1"/>
      <w:marLeft w:val="0"/>
      <w:marRight w:val="0"/>
      <w:marTop w:val="0"/>
      <w:marBottom w:val="0"/>
      <w:divBdr>
        <w:top w:val="none" w:sz="0" w:space="0" w:color="auto"/>
        <w:left w:val="none" w:sz="0" w:space="0" w:color="auto"/>
        <w:bottom w:val="none" w:sz="0" w:space="0" w:color="auto"/>
        <w:right w:val="none" w:sz="0" w:space="0" w:color="auto"/>
      </w:divBdr>
    </w:div>
    <w:div w:id="16792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image" Target="media/image2.png"/><Relationship Id="rId50" Type="http://schemas.openxmlformats.org/officeDocument/2006/relationships/image" Target="media/image5.png"/><Relationship Id="rId55" Type="http://schemas.openxmlformats.org/officeDocument/2006/relationships/hyperlink" Target="https://www.pbs.gov.au/medicine/item/5573H" TargetMode="External"/><Relationship Id="rId63" Type="http://schemas.openxmlformats.org/officeDocument/2006/relationships/header" Target="header3.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41" Type="http://schemas.openxmlformats.org/officeDocument/2006/relationships/chart" Target="charts/chart35.xml"/><Relationship Id="rId54" Type="http://schemas.openxmlformats.org/officeDocument/2006/relationships/hyperlink" Target="https://www.tga.gov.au/alert/bupropion-zyban-sr"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hyperlink" Target="https://www.tga.gov.au/book/m-n-o" TargetMode="External"/><Relationship Id="rId58" Type="http://schemas.openxmlformats.org/officeDocument/2006/relationships/hyperlink" Target="https://www.aihw.gov.au/reports/illicit-use-of-drugs/national-drug-strategy-household-survey-2019/contents/table-of-contents"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image" Target="media/image4.png"/><Relationship Id="rId57" Type="http://schemas.openxmlformats.org/officeDocument/2006/relationships/hyperlink" Target="https://www.pbs.gov.au/medicine/item/8710K" TargetMode="External"/><Relationship Id="rId61"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hyperlink" Target="https://www.tga.gov.au/alert/varenicline-champix"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image" Target="media/image3.png"/><Relationship Id="rId56" Type="http://schemas.openxmlformats.org/officeDocument/2006/relationships/hyperlink" Target="https://www.pbs.gov.au/medicine/item/5469W-9129L" TargetMode="External"/><Relationship Id="rId64" Type="http://schemas.openxmlformats.org/officeDocument/2006/relationships/footer" Target="footer3.xml"/><Relationship Id="rId8" Type="http://schemas.openxmlformats.org/officeDocument/2006/relationships/chart" Target="charts/chart2.xml"/><Relationship Id="rId51"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image" Target="media/image1.png"/><Relationship Id="rId5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beshki\Desktop\Smoking_Study\Results\Trends_Calendar.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abeshki\Desktop\Smoking_Study\Results\Trends_Calendar.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abeshki\Desktop\Smoking_Study\Results\Trends_Calendar.xls"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Babeshki\Desktop\Smoking_Study\Results\Trends_Financial.xls"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Babeshki\Desktop\Smoking_Study\Results\Trends_Financial.xls" TargetMode="External"/><Relationship Id="rId2" Type="http://schemas.microsoft.com/office/2011/relationships/chartColorStyle" Target="colors9.xml"/><Relationship Id="rId1" Type="http://schemas.microsoft.com/office/2011/relationships/chartStyle" Target="style9.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C:\Users\Babeshki\Desktop\Smoking_Study\Results\Trends_Financial.xls" TargetMode="External"/><Relationship Id="rId2" Type="http://schemas.microsoft.com/office/2011/relationships/chartColorStyle" Target="colors10.xml"/><Relationship Id="rId1" Type="http://schemas.microsoft.com/office/2011/relationships/chartStyle" Target="style10.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Babeshki\Desktop\Smoking_Study\Results\Init_Age.xls"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C:\Users\Babeshki\Desktop\Smoking_Study\Results\Inc_2019.xls" TargetMode="External"/><Relationship Id="rId2" Type="http://schemas.microsoft.com/office/2011/relationships/chartColorStyle" Target="colors11.xml"/><Relationship Id="rId1" Type="http://schemas.microsoft.com/office/2011/relationships/chartStyle" Target="style11.xml"/></Relationships>
</file>

<file path=word/charts/_rels/chart19.xml.rels><?xml version="1.0" encoding="UTF-8" standalone="yes"?>
<Relationships xmlns="http://schemas.openxmlformats.org/package/2006/relationships"><Relationship Id="rId1" Type="http://schemas.openxmlformats.org/officeDocument/2006/relationships/oleObject" Target="file:///C:\Users\Babeshki\Desktop\Smoking_Study\Results\Inc_2019.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beshki\Desktop\Smoking_Study\Results\Trends_Financial.xls" TargetMode="External"/><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Babeshki\Desktop\Smoking_Study\Results\Trends_Calendar.xls" TargetMode="External"/></Relationships>
</file>

<file path=word/charts/_rels/chart25.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2.xml"/><Relationship Id="rId1" Type="http://schemas.microsoft.com/office/2011/relationships/chartStyle" Target="style12.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3.xml"/><Relationship Id="rId1" Type="http://schemas.microsoft.com/office/2011/relationships/chartStyle" Target="style13.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4.xml"/><Relationship Id="rId1" Type="http://schemas.microsoft.com/office/2011/relationships/chartStyle" Target="style14.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1.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6.xml"/><Relationship Id="rId1" Type="http://schemas.microsoft.com/office/2011/relationships/chartStyle" Target="style16.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abeshki\Desktop\Smoking_Study\Results\Trends_Financial.xls" TargetMode="External"/><Relationship Id="rId2" Type="http://schemas.microsoft.com/office/2011/relationships/chartColorStyle" Target="colors2.xml"/><Relationship Id="rId1" Type="http://schemas.microsoft.com/office/2011/relationships/chartStyle" Target="style2.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7.xml"/><Relationship Id="rId1" Type="http://schemas.microsoft.com/office/2011/relationships/chartStyle" Target="style17.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8.xml"/><Relationship Id="rId1" Type="http://schemas.microsoft.com/office/2011/relationships/chartStyle" Target="style18.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Babeshki\Desktop\Smoking_Study\Results\Stats.xlsx" TargetMode="External"/><Relationship Id="rId2" Type="http://schemas.microsoft.com/office/2011/relationships/chartColorStyle" Target="colors19.xml"/><Relationship Id="rId1" Type="http://schemas.microsoft.com/office/2011/relationships/chartStyle" Target="style19.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20.xml"/><Relationship Id="rId1" Type="http://schemas.microsoft.com/office/2011/relationships/chartStyle" Target="style20.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21.xml"/><Relationship Id="rId1" Type="http://schemas.microsoft.com/office/2011/relationships/chartStyle" Target="style21.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Babeshki\Desktop\Smoking_Study\Results\ESTIMATES_NEW.xlsx" TargetMode="External"/><Relationship Id="rId2" Type="http://schemas.microsoft.com/office/2011/relationships/chartColorStyle" Target="colors22.xml"/><Relationship Id="rId1" Type="http://schemas.microsoft.com/office/2011/relationships/chartStyle" Target="style22.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Babeshki\Desktop\Smoking_Study\Results\ESTIMATES_NEW.xlsx" TargetMode="External"/><Relationship Id="rId2" Type="http://schemas.microsoft.com/office/2011/relationships/chartColorStyle" Target="colors23.xml"/><Relationship Id="rId1" Type="http://schemas.microsoft.com/office/2011/relationships/chartStyle" Target="style23.xml"/></Relationships>
</file>

<file path=word/charts/_rels/chart37.xml.rels><?xml version="1.0" encoding="UTF-8" standalone="yes"?>
<Relationships xmlns="http://schemas.openxmlformats.org/package/2006/relationships"><Relationship Id="rId1" Type="http://schemas.openxmlformats.org/officeDocument/2006/relationships/oleObject" Target="file:///C:\Users\Babeshki\Desktop\Smoking_Study\Results\Trends_Calendar.xls" TargetMode="External"/></Relationships>
</file>

<file path=word/charts/_rels/chart38.xml.rels><?xml version="1.0" encoding="UTF-8" standalone="yes"?>
<Relationships xmlns="http://schemas.openxmlformats.org/package/2006/relationships"><Relationship Id="rId3" Type="http://schemas.openxmlformats.org/officeDocument/2006/relationships/oleObject" Target="file:///C:\Users\Babeshki\Desktop\Smoking_Study\Quitline_Data.xls" TargetMode="External"/><Relationship Id="rId2" Type="http://schemas.microsoft.com/office/2011/relationships/chartColorStyle" Target="colors24.xml"/><Relationship Id="rId1" Type="http://schemas.microsoft.com/office/2011/relationships/chartStyle" Target="style24.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Babeshki\Desktop\Smoking_Study\Quitline_Data.xls" TargetMode="External"/><Relationship Id="rId2" Type="http://schemas.microsoft.com/office/2011/relationships/chartColorStyle" Target="colors25.xml"/><Relationship Id="rId1" Type="http://schemas.microsoft.com/office/2011/relationships/chartStyle" Target="style25.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abeshki\Desktop\Smoking_Study\Results\Trends_Financial.xls"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46981627296589"/>
          <c:y val="0.10620105820105823"/>
          <c:w val="0.78979440069991247"/>
          <c:h val="0.57295948605502667"/>
        </c:manualLayout>
      </c:layout>
      <c:lineChart>
        <c:grouping val="standard"/>
        <c:varyColors val="0"/>
        <c:ser>
          <c:idx val="0"/>
          <c:order val="0"/>
          <c:tx>
            <c:strRef>
              <c:f>Scripts_Qtr!$B$1</c:f>
              <c:strCache>
                <c:ptCount val="1"/>
                <c:pt idx="0">
                  <c:v>BUPROPION</c:v>
                </c:pt>
              </c:strCache>
            </c:strRef>
          </c:tx>
          <c:spPr>
            <a:ln w="28575" cap="rnd">
              <a:solidFill>
                <a:schemeClr val="accent1"/>
              </a:solidFill>
              <a:round/>
            </a:ln>
            <a:effectLst/>
          </c:spPr>
          <c:marker>
            <c:symbol val="none"/>
          </c:marker>
          <c:cat>
            <c:strRef>
              <c:f>Scripts_Qtr!$A$2:$A$41</c:f>
              <c:strCache>
                <c:ptCount val="40"/>
                <c:pt idx="0">
                  <c:v>2010_Q3</c:v>
                </c:pt>
                <c:pt idx="1">
                  <c:v>2010_Q4</c:v>
                </c:pt>
                <c:pt idx="2">
                  <c:v>2011_Q1</c:v>
                </c:pt>
                <c:pt idx="3">
                  <c:v>2011_Q2</c:v>
                </c:pt>
                <c:pt idx="4">
                  <c:v>2011_Q3</c:v>
                </c:pt>
                <c:pt idx="5">
                  <c:v>2011_Q4</c:v>
                </c:pt>
                <c:pt idx="6">
                  <c:v>2012_Q1</c:v>
                </c:pt>
                <c:pt idx="7">
                  <c:v>2012_Q2</c:v>
                </c:pt>
                <c:pt idx="8">
                  <c:v>2012_Q3</c:v>
                </c:pt>
                <c:pt idx="9">
                  <c:v>2012_Q4</c:v>
                </c:pt>
                <c:pt idx="10">
                  <c:v>2013_Q1</c:v>
                </c:pt>
                <c:pt idx="11">
                  <c:v>2013_Q2</c:v>
                </c:pt>
                <c:pt idx="12">
                  <c:v>2013_Q3</c:v>
                </c:pt>
                <c:pt idx="13">
                  <c:v>2013_Q4</c:v>
                </c:pt>
                <c:pt idx="14">
                  <c:v>2014_Q1</c:v>
                </c:pt>
                <c:pt idx="15">
                  <c:v>2014_Q2</c:v>
                </c:pt>
                <c:pt idx="16">
                  <c:v>2014_Q3</c:v>
                </c:pt>
                <c:pt idx="17">
                  <c:v>2014_Q4</c:v>
                </c:pt>
                <c:pt idx="18">
                  <c:v>2015_Q1</c:v>
                </c:pt>
                <c:pt idx="19">
                  <c:v>2015_Q2</c:v>
                </c:pt>
                <c:pt idx="20">
                  <c:v>2015_Q3</c:v>
                </c:pt>
                <c:pt idx="21">
                  <c:v>2015_Q4</c:v>
                </c:pt>
                <c:pt idx="22">
                  <c:v>2016_Q1</c:v>
                </c:pt>
                <c:pt idx="23">
                  <c:v>2016_Q2</c:v>
                </c:pt>
                <c:pt idx="24">
                  <c:v>2016_Q3</c:v>
                </c:pt>
                <c:pt idx="25">
                  <c:v>2016_Q4</c:v>
                </c:pt>
                <c:pt idx="26">
                  <c:v>2017_Q1</c:v>
                </c:pt>
                <c:pt idx="27">
                  <c:v>2017_Q2</c:v>
                </c:pt>
                <c:pt idx="28">
                  <c:v>2017_Q3</c:v>
                </c:pt>
                <c:pt idx="29">
                  <c:v>2017_Q4</c:v>
                </c:pt>
                <c:pt idx="30">
                  <c:v>2018_Q1</c:v>
                </c:pt>
                <c:pt idx="31">
                  <c:v>2018_Q2</c:v>
                </c:pt>
                <c:pt idx="32">
                  <c:v>2018_Q3</c:v>
                </c:pt>
                <c:pt idx="33">
                  <c:v>2018_Q4</c:v>
                </c:pt>
                <c:pt idx="34">
                  <c:v>2019_Q1</c:v>
                </c:pt>
                <c:pt idx="35">
                  <c:v>2019_Q2</c:v>
                </c:pt>
                <c:pt idx="36">
                  <c:v>2019_Q3</c:v>
                </c:pt>
                <c:pt idx="37">
                  <c:v>2019_Q4</c:v>
                </c:pt>
                <c:pt idx="38">
                  <c:v>2020_Q1</c:v>
                </c:pt>
                <c:pt idx="39">
                  <c:v>2020_Q2</c:v>
                </c:pt>
              </c:strCache>
            </c:strRef>
          </c:cat>
          <c:val>
            <c:numRef>
              <c:f>Scripts_Qtr!$B$2:$B$41</c:f>
              <c:numCache>
                <c:formatCode>General</c:formatCode>
                <c:ptCount val="40"/>
                <c:pt idx="0">
                  <c:v>4740</c:v>
                </c:pt>
                <c:pt idx="1">
                  <c:v>4103</c:v>
                </c:pt>
                <c:pt idx="2">
                  <c:v>4563</c:v>
                </c:pt>
                <c:pt idx="3">
                  <c:v>4170</c:v>
                </c:pt>
                <c:pt idx="4">
                  <c:v>3933</c:v>
                </c:pt>
                <c:pt idx="5">
                  <c:v>3520</c:v>
                </c:pt>
                <c:pt idx="6">
                  <c:v>4040</c:v>
                </c:pt>
                <c:pt idx="7">
                  <c:v>3950</c:v>
                </c:pt>
                <c:pt idx="8">
                  <c:v>4074</c:v>
                </c:pt>
                <c:pt idx="9">
                  <c:v>3804</c:v>
                </c:pt>
                <c:pt idx="10">
                  <c:v>3791</c:v>
                </c:pt>
                <c:pt idx="11">
                  <c:v>3814</c:v>
                </c:pt>
                <c:pt idx="12">
                  <c:v>4017</c:v>
                </c:pt>
                <c:pt idx="13">
                  <c:v>3897</c:v>
                </c:pt>
                <c:pt idx="14">
                  <c:v>3955</c:v>
                </c:pt>
                <c:pt idx="15">
                  <c:v>3912</c:v>
                </c:pt>
                <c:pt idx="16">
                  <c:v>4061</c:v>
                </c:pt>
                <c:pt idx="17">
                  <c:v>3806</c:v>
                </c:pt>
                <c:pt idx="18">
                  <c:v>4027</c:v>
                </c:pt>
                <c:pt idx="19">
                  <c:v>4160</c:v>
                </c:pt>
                <c:pt idx="20">
                  <c:v>3987</c:v>
                </c:pt>
                <c:pt idx="21">
                  <c:v>3994</c:v>
                </c:pt>
                <c:pt idx="22">
                  <c:v>4363</c:v>
                </c:pt>
                <c:pt idx="23">
                  <c:v>4894</c:v>
                </c:pt>
                <c:pt idx="24">
                  <c:v>4824</c:v>
                </c:pt>
                <c:pt idx="25">
                  <c:v>4730</c:v>
                </c:pt>
                <c:pt idx="26">
                  <c:v>5090</c:v>
                </c:pt>
                <c:pt idx="27">
                  <c:v>4965</c:v>
                </c:pt>
                <c:pt idx="28">
                  <c:v>4967</c:v>
                </c:pt>
                <c:pt idx="29">
                  <c:v>5198</c:v>
                </c:pt>
                <c:pt idx="30">
                  <c:v>5485</c:v>
                </c:pt>
                <c:pt idx="31">
                  <c:v>5625</c:v>
                </c:pt>
                <c:pt idx="32">
                  <c:v>5744</c:v>
                </c:pt>
                <c:pt idx="33">
                  <c:v>5775</c:v>
                </c:pt>
                <c:pt idx="34">
                  <c:v>5849</c:v>
                </c:pt>
                <c:pt idx="35">
                  <c:v>4968</c:v>
                </c:pt>
                <c:pt idx="36">
                  <c:v>1074</c:v>
                </c:pt>
                <c:pt idx="37">
                  <c:v>605</c:v>
                </c:pt>
                <c:pt idx="38">
                  <c:v>2442</c:v>
                </c:pt>
                <c:pt idx="39">
                  <c:v>1146</c:v>
                </c:pt>
              </c:numCache>
            </c:numRef>
          </c:val>
          <c:smooth val="0"/>
          <c:extLst>
            <c:ext xmlns:c16="http://schemas.microsoft.com/office/drawing/2014/chart" uri="{C3380CC4-5D6E-409C-BE32-E72D297353CC}">
              <c16:uniqueId val="{00000000-1FF5-48F0-AF0E-78015AE9E55E}"/>
            </c:ext>
          </c:extLst>
        </c:ser>
        <c:ser>
          <c:idx val="1"/>
          <c:order val="1"/>
          <c:tx>
            <c:strRef>
              <c:f>Scripts_Qtr!$C$1</c:f>
              <c:strCache>
                <c:ptCount val="1"/>
                <c:pt idx="0">
                  <c:v>NICOTINE</c:v>
                </c:pt>
              </c:strCache>
            </c:strRef>
          </c:tx>
          <c:spPr>
            <a:ln w="28575" cap="rnd">
              <a:solidFill>
                <a:schemeClr val="accent2"/>
              </a:solidFill>
              <a:round/>
            </a:ln>
            <a:effectLst/>
          </c:spPr>
          <c:marker>
            <c:symbol val="none"/>
          </c:marker>
          <c:cat>
            <c:strRef>
              <c:f>Scripts_Qtr!$A$2:$A$41</c:f>
              <c:strCache>
                <c:ptCount val="40"/>
                <c:pt idx="0">
                  <c:v>2010_Q3</c:v>
                </c:pt>
                <c:pt idx="1">
                  <c:v>2010_Q4</c:v>
                </c:pt>
                <c:pt idx="2">
                  <c:v>2011_Q1</c:v>
                </c:pt>
                <c:pt idx="3">
                  <c:v>2011_Q2</c:v>
                </c:pt>
                <c:pt idx="4">
                  <c:v>2011_Q3</c:v>
                </c:pt>
                <c:pt idx="5">
                  <c:v>2011_Q4</c:v>
                </c:pt>
                <c:pt idx="6">
                  <c:v>2012_Q1</c:v>
                </c:pt>
                <c:pt idx="7">
                  <c:v>2012_Q2</c:v>
                </c:pt>
                <c:pt idx="8">
                  <c:v>2012_Q3</c:v>
                </c:pt>
                <c:pt idx="9">
                  <c:v>2012_Q4</c:v>
                </c:pt>
                <c:pt idx="10">
                  <c:v>2013_Q1</c:v>
                </c:pt>
                <c:pt idx="11">
                  <c:v>2013_Q2</c:v>
                </c:pt>
                <c:pt idx="12">
                  <c:v>2013_Q3</c:v>
                </c:pt>
                <c:pt idx="13">
                  <c:v>2013_Q4</c:v>
                </c:pt>
                <c:pt idx="14">
                  <c:v>2014_Q1</c:v>
                </c:pt>
                <c:pt idx="15">
                  <c:v>2014_Q2</c:v>
                </c:pt>
                <c:pt idx="16">
                  <c:v>2014_Q3</c:v>
                </c:pt>
                <c:pt idx="17">
                  <c:v>2014_Q4</c:v>
                </c:pt>
                <c:pt idx="18">
                  <c:v>2015_Q1</c:v>
                </c:pt>
                <c:pt idx="19">
                  <c:v>2015_Q2</c:v>
                </c:pt>
                <c:pt idx="20">
                  <c:v>2015_Q3</c:v>
                </c:pt>
                <c:pt idx="21">
                  <c:v>2015_Q4</c:v>
                </c:pt>
                <c:pt idx="22">
                  <c:v>2016_Q1</c:v>
                </c:pt>
                <c:pt idx="23">
                  <c:v>2016_Q2</c:v>
                </c:pt>
                <c:pt idx="24">
                  <c:v>2016_Q3</c:v>
                </c:pt>
                <c:pt idx="25">
                  <c:v>2016_Q4</c:v>
                </c:pt>
                <c:pt idx="26">
                  <c:v>2017_Q1</c:v>
                </c:pt>
                <c:pt idx="27">
                  <c:v>2017_Q2</c:v>
                </c:pt>
                <c:pt idx="28">
                  <c:v>2017_Q3</c:v>
                </c:pt>
                <c:pt idx="29">
                  <c:v>2017_Q4</c:v>
                </c:pt>
                <c:pt idx="30">
                  <c:v>2018_Q1</c:v>
                </c:pt>
                <c:pt idx="31">
                  <c:v>2018_Q2</c:v>
                </c:pt>
                <c:pt idx="32">
                  <c:v>2018_Q3</c:v>
                </c:pt>
                <c:pt idx="33">
                  <c:v>2018_Q4</c:v>
                </c:pt>
                <c:pt idx="34">
                  <c:v>2019_Q1</c:v>
                </c:pt>
                <c:pt idx="35">
                  <c:v>2019_Q2</c:v>
                </c:pt>
                <c:pt idx="36">
                  <c:v>2019_Q3</c:v>
                </c:pt>
                <c:pt idx="37">
                  <c:v>2019_Q4</c:v>
                </c:pt>
                <c:pt idx="38">
                  <c:v>2020_Q1</c:v>
                </c:pt>
                <c:pt idx="39">
                  <c:v>2020_Q2</c:v>
                </c:pt>
              </c:strCache>
            </c:strRef>
          </c:cat>
          <c:val>
            <c:numRef>
              <c:f>Scripts_Qtr!$C$2:$C$41</c:f>
              <c:numCache>
                <c:formatCode>General</c:formatCode>
                <c:ptCount val="40"/>
                <c:pt idx="0">
                  <c:v>920</c:v>
                </c:pt>
                <c:pt idx="1">
                  <c:v>952</c:v>
                </c:pt>
                <c:pt idx="2">
                  <c:v>70381</c:v>
                </c:pt>
                <c:pt idx="3">
                  <c:v>73325</c:v>
                </c:pt>
                <c:pt idx="4">
                  <c:v>56775</c:v>
                </c:pt>
                <c:pt idx="5">
                  <c:v>42217</c:v>
                </c:pt>
                <c:pt idx="6">
                  <c:v>42275</c:v>
                </c:pt>
                <c:pt idx="7">
                  <c:v>38724</c:v>
                </c:pt>
                <c:pt idx="8">
                  <c:v>36471</c:v>
                </c:pt>
                <c:pt idx="9">
                  <c:v>34441</c:v>
                </c:pt>
                <c:pt idx="10">
                  <c:v>31596</c:v>
                </c:pt>
                <c:pt idx="11">
                  <c:v>32664</c:v>
                </c:pt>
                <c:pt idx="12">
                  <c:v>33453</c:v>
                </c:pt>
                <c:pt idx="13">
                  <c:v>32027</c:v>
                </c:pt>
                <c:pt idx="14">
                  <c:v>30131</c:v>
                </c:pt>
                <c:pt idx="15">
                  <c:v>31981</c:v>
                </c:pt>
                <c:pt idx="16">
                  <c:v>34023</c:v>
                </c:pt>
                <c:pt idx="17">
                  <c:v>38071</c:v>
                </c:pt>
                <c:pt idx="18">
                  <c:v>32830</c:v>
                </c:pt>
                <c:pt idx="19">
                  <c:v>35180</c:v>
                </c:pt>
                <c:pt idx="20">
                  <c:v>39901</c:v>
                </c:pt>
                <c:pt idx="21">
                  <c:v>44656</c:v>
                </c:pt>
                <c:pt idx="22">
                  <c:v>38947</c:v>
                </c:pt>
                <c:pt idx="23">
                  <c:v>44033</c:v>
                </c:pt>
                <c:pt idx="24">
                  <c:v>46103</c:v>
                </c:pt>
                <c:pt idx="25">
                  <c:v>51398</c:v>
                </c:pt>
                <c:pt idx="26">
                  <c:v>44935</c:v>
                </c:pt>
                <c:pt idx="27">
                  <c:v>46827</c:v>
                </c:pt>
                <c:pt idx="28">
                  <c:v>50819</c:v>
                </c:pt>
                <c:pt idx="29">
                  <c:v>57634</c:v>
                </c:pt>
                <c:pt idx="30">
                  <c:v>50214</c:v>
                </c:pt>
                <c:pt idx="31">
                  <c:v>51948</c:v>
                </c:pt>
                <c:pt idx="32">
                  <c:v>56327</c:v>
                </c:pt>
                <c:pt idx="33">
                  <c:v>62752</c:v>
                </c:pt>
                <c:pt idx="34">
                  <c:v>52137</c:v>
                </c:pt>
                <c:pt idx="35">
                  <c:v>53360</c:v>
                </c:pt>
                <c:pt idx="36">
                  <c:v>57821</c:v>
                </c:pt>
                <c:pt idx="37">
                  <c:v>64818</c:v>
                </c:pt>
                <c:pt idx="38">
                  <c:v>59782</c:v>
                </c:pt>
                <c:pt idx="39">
                  <c:v>51123</c:v>
                </c:pt>
              </c:numCache>
            </c:numRef>
          </c:val>
          <c:smooth val="0"/>
          <c:extLst>
            <c:ext xmlns:c16="http://schemas.microsoft.com/office/drawing/2014/chart" uri="{C3380CC4-5D6E-409C-BE32-E72D297353CC}">
              <c16:uniqueId val="{00000001-1FF5-48F0-AF0E-78015AE9E55E}"/>
            </c:ext>
          </c:extLst>
        </c:ser>
        <c:ser>
          <c:idx val="2"/>
          <c:order val="2"/>
          <c:tx>
            <c:strRef>
              <c:f>Scripts_Qtr!$D$1</c:f>
              <c:strCache>
                <c:ptCount val="1"/>
                <c:pt idx="0">
                  <c:v>VARENICLINE</c:v>
                </c:pt>
              </c:strCache>
            </c:strRef>
          </c:tx>
          <c:spPr>
            <a:ln w="28575" cap="rnd">
              <a:solidFill>
                <a:schemeClr val="accent3"/>
              </a:solidFill>
              <a:round/>
            </a:ln>
            <a:effectLst/>
          </c:spPr>
          <c:marker>
            <c:symbol val="none"/>
          </c:marker>
          <c:cat>
            <c:strRef>
              <c:f>Scripts_Qtr!$A$2:$A$41</c:f>
              <c:strCache>
                <c:ptCount val="40"/>
                <c:pt idx="0">
                  <c:v>2010_Q3</c:v>
                </c:pt>
                <c:pt idx="1">
                  <c:v>2010_Q4</c:v>
                </c:pt>
                <c:pt idx="2">
                  <c:v>2011_Q1</c:v>
                </c:pt>
                <c:pt idx="3">
                  <c:v>2011_Q2</c:v>
                </c:pt>
                <c:pt idx="4">
                  <c:v>2011_Q3</c:v>
                </c:pt>
                <c:pt idx="5">
                  <c:v>2011_Q4</c:v>
                </c:pt>
                <c:pt idx="6">
                  <c:v>2012_Q1</c:v>
                </c:pt>
                <c:pt idx="7">
                  <c:v>2012_Q2</c:v>
                </c:pt>
                <c:pt idx="8">
                  <c:v>2012_Q3</c:v>
                </c:pt>
                <c:pt idx="9">
                  <c:v>2012_Q4</c:v>
                </c:pt>
                <c:pt idx="10">
                  <c:v>2013_Q1</c:v>
                </c:pt>
                <c:pt idx="11">
                  <c:v>2013_Q2</c:v>
                </c:pt>
                <c:pt idx="12">
                  <c:v>2013_Q3</c:v>
                </c:pt>
                <c:pt idx="13">
                  <c:v>2013_Q4</c:v>
                </c:pt>
                <c:pt idx="14">
                  <c:v>2014_Q1</c:v>
                </c:pt>
                <c:pt idx="15">
                  <c:v>2014_Q2</c:v>
                </c:pt>
                <c:pt idx="16">
                  <c:v>2014_Q3</c:v>
                </c:pt>
                <c:pt idx="17">
                  <c:v>2014_Q4</c:v>
                </c:pt>
                <c:pt idx="18">
                  <c:v>2015_Q1</c:v>
                </c:pt>
                <c:pt idx="19">
                  <c:v>2015_Q2</c:v>
                </c:pt>
                <c:pt idx="20">
                  <c:v>2015_Q3</c:v>
                </c:pt>
                <c:pt idx="21">
                  <c:v>2015_Q4</c:v>
                </c:pt>
                <c:pt idx="22">
                  <c:v>2016_Q1</c:v>
                </c:pt>
                <c:pt idx="23">
                  <c:v>2016_Q2</c:v>
                </c:pt>
                <c:pt idx="24">
                  <c:v>2016_Q3</c:v>
                </c:pt>
                <c:pt idx="25">
                  <c:v>2016_Q4</c:v>
                </c:pt>
                <c:pt idx="26">
                  <c:v>2017_Q1</c:v>
                </c:pt>
                <c:pt idx="27">
                  <c:v>2017_Q2</c:v>
                </c:pt>
                <c:pt idx="28">
                  <c:v>2017_Q3</c:v>
                </c:pt>
                <c:pt idx="29">
                  <c:v>2017_Q4</c:v>
                </c:pt>
                <c:pt idx="30">
                  <c:v>2018_Q1</c:v>
                </c:pt>
                <c:pt idx="31">
                  <c:v>2018_Q2</c:v>
                </c:pt>
                <c:pt idx="32">
                  <c:v>2018_Q3</c:v>
                </c:pt>
                <c:pt idx="33">
                  <c:v>2018_Q4</c:v>
                </c:pt>
                <c:pt idx="34">
                  <c:v>2019_Q1</c:v>
                </c:pt>
                <c:pt idx="35">
                  <c:v>2019_Q2</c:v>
                </c:pt>
                <c:pt idx="36">
                  <c:v>2019_Q3</c:v>
                </c:pt>
                <c:pt idx="37">
                  <c:v>2019_Q4</c:v>
                </c:pt>
                <c:pt idx="38">
                  <c:v>2020_Q1</c:v>
                </c:pt>
                <c:pt idx="39">
                  <c:v>2020_Q2</c:v>
                </c:pt>
              </c:strCache>
            </c:strRef>
          </c:cat>
          <c:val>
            <c:numRef>
              <c:f>Scripts_Qtr!$D$2:$D$41</c:f>
              <c:numCache>
                <c:formatCode>General</c:formatCode>
                <c:ptCount val="40"/>
                <c:pt idx="0">
                  <c:v>133706</c:v>
                </c:pt>
                <c:pt idx="1">
                  <c:v>102756</c:v>
                </c:pt>
                <c:pt idx="2">
                  <c:v>116616</c:v>
                </c:pt>
                <c:pt idx="3">
                  <c:v>120850</c:v>
                </c:pt>
                <c:pt idx="4">
                  <c:v>98472</c:v>
                </c:pt>
                <c:pt idx="5">
                  <c:v>85024</c:v>
                </c:pt>
                <c:pt idx="6">
                  <c:v>90970</c:v>
                </c:pt>
                <c:pt idx="7">
                  <c:v>93893</c:v>
                </c:pt>
                <c:pt idx="8">
                  <c:v>96028</c:v>
                </c:pt>
                <c:pt idx="9">
                  <c:v>88263</c:v>
                </c:pt>
                <c:pt idx="10">
                  <c:v>88424</c:v>
                </c:pt>
                <c:pt idx="11">
                  <c:v>89284</c:v>
                </c:pt>
                <c:pt idx="12">
                  <c:v>89019</c:v>
                </c:pt>
                <c:pt idx="13">
                  <c:v>79115</c:v>
                </c:pt>
                <c:pt idx="14">
                  <c:v>84569</c:v>
                </c:pt>
                <c:pt idx="15">
                  <c:v>81047</c:v>
                </c:pt>
                <c:pt idx="16">
                  <c:v>83888</c:v>
                </c:pt>
                <c:pt idx="17">
                  <c:v>83264</c:v>
                </c:pt>
                <c:pt idx="18">
                  <c:v>84333</c:v>
                </c:pt>
                <c:pt idx="19">
                  <c:v>84109</c:v>
                </c:pt>
                <c:pt idx="20">
                  <c:v>80466</c:v>
                </c:pt>
                <c:pt idx="21">
                  <c:v>74759</c:v>
                </c:pt>
                <c:pt idx="22">
                  <c:v>71825</c:v>
                </c:pt>
                <c:pt idx="23">
                  <c:v>77513</c:v>
                </c:pt>
                <c:pt idx="24">
                  <c:v>73521</c:v>
                </c:pt>
                <c:pt idx="25">
                  <c:v>69430</c:v>
                </c:pt>
                <c:pt idx="26">
                  <c:v>72386</c:v>
                </c:pt>
                <c:pt idx="27">
                  <c:v>71573</c:v>
                </c:pt>
                <c:pt idx="28">
                  <c:v>74101</c:v>
                </c:pt>
                <c:pt idx="29">
                  <c:v>76420</c:v>
                </c:pt>
                <c:pt idx="30">
                  <c:v>78496</c:v>
                </c:pt>
                <c:pt idx="31">
                  <c:v>77904</c:v>
                </c:pt>
                <c:pt idx="32">
                  <c:v>78200</c:v>
                </c:pt>
                <c:pt idx="33">
                  <c:v>77715</c:v>
                </c:pt>
                <c:pt idx="34">
                  <c:v>76054</c:v>
                </c:pt>
                <c:pt idx="35">
                  <c:v>71222</c:v>
                </c:pt>
                <c:pt idx="36">
                  <c:v>75297</c:v>
                </c:pt>
                <c:pt idx="37">
                  <c:v>76917</c:v>
                </c:pt>
                <c:pt idx="38">
                  <c:v>81905</c:v>
                </c:pt>
                <c:pt idx="39">
                  <c:v>69562</c:v>
                </c:pt>
              </c:numCache>
            </c:numRef>
          </c:val>
          <c:smooth val="0"/>
          <c:extLst>
            <c:ext xmlns:c16="http://schemas.microsoft.com/office/drawing/2014/chart" uri="{C3380CC4-5D6E-409C-BE32-E72D297353CC}">
              <c16:uniqueId val="{00000002-1FF5-48F0-AF0E-78015AE9E55E}"/>
            </c:ext>
          </c:extLst>
        </c:ser>
        <c:dLbls>
          <c:showLegendKey val="0"/>
          <c:showVal val="0"/>
          <c:showCatName val="0"/>
          <c:showSerName val="0"/>
          <c:showPercent val="0"/>
          <c:showBubbleSize val="0"/>
        </c:dLbls>
        <c:smooth val="0"/>
        <c:axId val="648541624"/>
        <c:axId val="1"/>
      </c:lineChart>
      <c:catAx>
        <c:axId val="648541624"/>
        <c:scaling>
          <c:orientation val="minMax"/>
        </c:scaling>
        <c:delete val="0"/>
        <c:axPos val="b"/>
        <c:title>
          <c:tx>
            <c:rich>
              <a:bodyPr rot="0" vert="horz"/>
              <a:lstStyle/>
              <a:p>
                <a:pPr>
                  <a:defRPr/>
                </a:pPr>
                <a:r>
                  <a:rPr lang="en-US"/>
                  <a:t>Date of supply</a:t>
                </a:r>
              </a:p>
            </c:rich>
          </c:tx>
          <c:layout/>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Number of prescriptions</a:t>
                </a:r>
              </a:p>
            </c:rich>
          </c:tx>
          <c:layout/>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648541624"/>
        <c:crosses val="autoZero"/>
        <c:crossBetween val="midCat"/>
      </c:valAx>
      <c:spPr>
        <a:noFill/>
        <a:ln w="25400">
          <a:noFill/>
        </a:ln>
      </c:spPr>
    </c:plotArea>
    <c:legend>
      <c:legendPos val="r"/>
      <c:layout>
        <c:manualLayout>
          <c:xMode val="edge"/>
          <c:yMode val="edge"/>
          <c:x val="0.16250043744531933"/>
          <c:y val="0.9148363185371059"/>
          <c:w val="0.67291797900262473"/>
          <c:h val="6.0439560439560447E-2"/>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Total_Cost!$G$3</c:f>
              <c:strCache>
                <c:ptCount val="1"/>
                <c:pt idx="0">
                  <c:v>NRT (PBS) </c:v>
                </c:pt>
              </c:strCache>
            </c:strRef>
          </c:tx>
          <c:spPr>
            <a:solidFill>
              <a:srgbClr val="ED7D31"/>
            </a:solidFill>
            <a:ln w="25400">
              <a:noFill/>
            </a:ln>
          </c:spPr>
          <c:invertIfNegative val="0"/>
          <c:cat>
            <c:numRef>
              <c:f>Total_Cost!$A$4:$A$12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Total_Cost!$G$4:$G$12</c:f>
              <c:numCache>
                <c:formatCode>General</c:formatCode>
                <c:ptCount val="9"/>
                <c:pt idx="0">
                  <c:v>13.5</c:v>
                </c:pt>
                <c:pt idx="1">
                  <c:v>8.5</c:v>
                </c:pt>
                <c:pt idx="2">
                  <c:v>7.2</c:v>
                </c:pt>
                <c:pt idx="3">
                  <c:v>7.5</c:v>
                </c:pt>
                <c:pt idx="4">
                  <c:v>8.5</c:v>
                </c:pt>
                <c:pt idx="5">
                  <c:v>9.6999999999999993</c:v>
                </c:pt>
                <c:pt idx="6">
                  <c:v>10.7</c:v>
                </c:pt>
                <c:pt idx="7">
                  <c:v>11.9</c:v>
                </c:pt>
                <c:pt idx="8">
                  <c:v>11.7</c:v>
                </c:pt>
              </c:numCache>
            </c:numRef>
          </c:val>
          <c:extLst>
            <c:ext xmlns:c16="http://schemas.microsoft.com/office/drawing/2014/chart" uri="{C3380CC4-5D6E-409C-BE32-E72D297353CC}">
              <c16:uniqueId val="{00000000-3941-4ED9-B0C7-672FC8211C6D}"/>
            </c:ext>
          </c:extLst>
        </c:ser>
        <c:ser>
          <c:idx val="2"/>
          <c:order val="1"/>
          <c:tx>
            <c:strRef>
              <c:f>Total_Cost!$J$3</c:f>
              <c:strCache>
                <c:ptCount val="1"/>
                <c:pt idx="0">
                  <c:v>NRT (OTC) </c:v>
                </c:pt>
              </c:strCache>
            </c:strRef>
          </c:tx>
          <c:spPr>
            <a:solidFill>
              <a:srgbClr val="A5A5A5"/>
            </a:solidFill>
            <a:ln w="25400">
              <a:noFill/>
            </a:ln>
          </c:spPr>
          <c:invertIfNegative val="0"/>
          <c:cat>
            <c:numRef>
              <c:f>Total_Cost!$A$4:$A$12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Total_Cost!$J$4:$J$12</c:f>
              <c:numCache>
                <c:formatCode>General</c:formatCode>
                <c:ptCount val="9"/>
                <c:pt idx="0">
                  <c:v>121.7</c:v>
                </c:pt>
                <c:pt idx="1">
                  <c:v>130.1</c:v>
                </c:pt>
                <c:pt idx="2">
                  <c:v>137.4</c:v>
                </c:pt>
                <c:pt idx="3">
                  <c:v>138.30000000000001</c:v>
                </c:pt>
                <c:pt idx="4">
                  <c:v>128.80000000000001</c:v>
                </c:pt>
                <c:pt idx="5">
                  <c:v>138.30000000000001</c:v>
                </c:pt>
                <c:pt idx="6">
                  <c:v>145.69999999999999</c:v>
                </c:pt>
                <c:pt idx="7">
                  <c:v>149.1</c:v>
                </c:pt>
                <c:pt idx="8">
                  <c:v>152</c:v>
                </c:pt>
              </c:numCache>
            </c:numRef>
          </c:val>
          <c:extLst>
            <c:ext xmlns:c16="http://schemas.microsoft.com/office/drawing/2014/chart" uri="{C3380CC4-5D6E-409C-BE32-E72D297353CC}">
              <c16:uniqueId val="{00000001-3941-4ED9-B0C7-672FC8211C6D}"/>
            </c:ext>
          </c:extLst>
        </c:ser>
        <c:dLbls>
          <c:showLegendKey val="0"/>
          <c:showVal val="0"/>
          <c:showCatName val="0"/>
          <c:showSerName val="0"/>
          <c:showPercent val="0"/>
          <c:showBubbleSize val="0"/>
        </c:dLbls>
        <c:gapWidth val="150"/>
        <c:overlap val="100"/>
        <c:axId val="804389288"/>
        <c:axId val="1"/>
      </c:barChart>
      <c:catAx>
        <c:axId val="804389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AUD million</a:t>
                </a:r>
              </a:p>
            </c:rich>
          </c:tx>
          <c:layout/>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804389288"/>
        <c:crosses val="autoZero"/>
        <c:crossBetween val="between"/>
      </c:valAx>
      <c:spPr>
        <a:noFill/>
        <a:ln w="25400">
          <a:noFill/>
        </a:ln>
      </c:spPr>
    </c:plotArea>
    <c:legend>
      <c:legendPos val="b"/>
      <c:layout>
        <c:manualLayout>
          <c:xMode val="edge"/>
          <c:yMode val="edge"/>
          <c:x val="0.34715870193645149"/>
          <c:y val="0.8964428475566768"/>
          <c:w val="0.30261185093798759"/>
          <c:h val="7.1197750766591072E-2"/>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Total_Cost!$M$3</c:f>
              <c:strCache>
                <c:ptCount val="1"/>
                <c:pt idx="0">
                  <c:v>NRT under PBS </c:v>
                </c:pt>
              </c:strCache>
            </c:strRef>
          </c:tx>
          <c:spPr>
            <a:solidFill>
              <a:srgbClr val="ED7D31"/>
            </a:solidFill>
            <a:ln w="25400">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Total_Cost!$A$4:$A$12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Total_Cost!$M$4:$M$12</c:f>
              <c:numCache>
                <c:formatCode>General</c:formatCode>
                <c:ptCount val="9"/>
                <c:pt idx="0">
                  <c:v>10</c:v>
                </c:pt>
                <c:pt idx="1">
                  <c:v>6.1</c:v>
                </c:pt>
                <c:pt idx="2">
                  <c:v>5</c:v>
                </c:pt>
                <c:pt idx="3">
                  <c:v>5.0999999999999996</c:v>
                </c:pt>
                <c:pt idx="4">
                  <c:v>6.2</c:v>
                </c:pt>
                <c:pt idx="5">
                  <c:v>6.6</c:v>
                </c:pt>
                <c:pt idx="6">
                  <c:v>6.8</c:v>
                </c:pt>
                <c:pt idx="7">
                  <c:v>7.4</c:v>
                </c:pt>
                <c:pt idx="8">
                  <c:v>7.1</c:v>
                </c:pt>
              </c:numCache>
            </c:numRef>
          </c:val>
          <c:extLst>
            <c:ext xmlns:c16="http://schemas.microsoft.com/office/drawing/2014/chart" uri="{C3380CC4-5D6E-409C-BE32-E72D297353CC}">
              <c16:uniqueId val="{00000000-CDD5-478E-BD78-60D784C6E8E2}"/>
            </c:ext>
          </c:extLst>
        </c:ser>
        <c:ser>
          <c:idx val="2"/>
          <c:order val="1"/>
          <c:tx>
            <c:strRef>
              <c:f>Total_Cost!$N$3</c:f>
              <c:strCache>
                <c:ptCount val="1"/>
                <c:pt idx="0">
                  <c:v>NRT over the counter</c:v>
                </c:pt>
              </c:strCache>
            </c:strRef>
          </c:tx>
          <c:spPr>
            <a:solidFill>
              <a:srgbClr val="A5A5A5"/>
            </a:solidFill>
            <a:ln w="25400">
              <a:noFill/>
            </a:ln>
          </c:spPr>
          <c:invertIfNegative val="0"/>
          <c:cat>
            <c:numRef>
              <c:f>Total_Cost!$A$4:$A$12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Total_Cost!$N$4:$N$12</c:f>
              <c:numCache>
                <c:formatCode>General</c:formatCode>
                <c:ptCount val="9"/>
                <c:pt idx="0">
                  <c:v>90</c:v>
                </c:pt>
                <c:pt idx="1">
                  <c:v>93.9</c:v>
                </c:pt>
                <c:pt idx="2">
                  <c:v>95</c:v>
                </c:pt>
                <c:pt idx="3">
                  <c:v>94.9</c:v>
                </c:pt>
                <c:pt idx="4">
                  <c:v>93.8</c:v>
                </c:pt>
                <c:pt idx="5">
                  <c:v>93.4</c:v>
                </c:pt>
                <c:pt idx="6">
                  <c:v>93.2</c:v>
                </c:pt>
                <c:pt idx="7">
                  <c:v>92.6</c:v>
                </c:pt>
                <c:pt idx="8">
                  <c:v>92.9</c:v>
                </c:pt>
              </c:numCache>
            </c:numRef>
          </c:val>
          <c:extLst>
            <c:ext xmlns:c16="http://schemas.microsoft.com/office/drawing/2014/chart" uri="{C3380CC4-5D6E-409C-BE32-E72D297353CC}">
              <c16:uniqueId val="{00000001-CDD5-478E-BD78-60D784C6E8E2}"/>
            </c:ext>
          </c:extLst>
        </c:ser>
        <c:dLbls>
          <c:showLegendKey val="0"/>
          <c:showVal val="0"/>
          <c:showCatName val="0"/>
          <c:showSerName val="0"/>
          <c:showPercent val="0"/>
          <c:showBubbleSize val="0"/>
        </c:dLbls>
        <c:gapWidth val="150"/>
        <c:overlap val="100"/>
        <c:axId val="804391584"/>
        <c:axId val="1"/>
      </c:barChart>
      <c:catAx>
        <c:axId val="80439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total market cost</a:t>
                </a:r>
              </a:p>
            </c:rich>
          </c:tx>
          <c:layout/>
          <c:overlay val="0"/>
          <c:spPr>
            <a:noFill/>
            <a:ln w="25400">
              <a:noFill/>
            </a:ln>
          </c:spPr>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4391584"/>
        <c:crosses val="autoZero"/>
        <c:crossBetween val="between"/>
      </c:valAx>
      <c:spPr>
        <a:noFill/>
        <a:ln w="25400">
          <a:noFill/>
        </a:ln>
      </c:spPr>
    </c:plotArea>
    <c:legend>
      <c:legendPos val="b"/>
      <c:layout>
        <c:manualLayout>
          <c:xMode val="edge"/>
          <c:yMode val="edge"/>
          <c:x val="0.22222309711286084"/>
          <c:y val="0.89067524115755625"/>
          <c:w val="0.64097265966754158"/>
          <c:h val="7.7170418006430874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Prev_Financial!$B$2</c:f>
              <c:strCache>
                <c:ptCount val="1"/>
                <c:pt idx="0">
                  <c:v>num_pat (any med)</c:v>
                </c:pt>
              </c:strCache>
            </c:strRef>
          </c:tx>
          <c:spPr>
            <a:ln w="28575" cap="rnd">
              <a:solidFill>
                <a:schemeClr val="tx1"/>
              </a:solidFill>
              <a:round/>
            </a:ln>
            <a:effectLst/>
          </c:spPr>
          <c:marker>
            <c:symbol val="none"/>
          </c:marker>
          <c:cat>
            <c:strRef>
              <c:f>Prev_Financial!$A$3:$A$12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Prev_Financial!$B$3:$B$12</c:f>
              <c:numCache>
                <c:formatCode>General</c:formatCode>
                <c:ptCount val="10"/>
                <c:pt idx="0">
                  <c:v>421009</c:v>
                </c:pt>
                <c:pt idx="1">
                  <c:v>355914</c:v>
                </c:pt>
                <c:pt idx="2">
                  <c:v>319986</c:v>
                </c:pt>
                <c:pt idx="3">
                  <c:v>293472</c:v>
                </c:pt>
                <c:pt idx="4">
                  <c:v>285971</c:v>
                </c:pt>
                <c:pt idx="5">
                  <c:v>274722</c:v>
                </c:pt>
                <c:pt idx="6">
                  <c:v>268880</c:v>
                </c:pt>
                <c:pt idx="7">
                  <c:v>279171</c:v>
                </c:pt>
                <c:pt idx="8">
                  <c:v>276212</c:v>
                </c:pt>
                <c:pt idx="9">
                  <c:v>265544</c:v>
                </c:pt>
              </c:numCache>
            </c:numRef>
          </c:val>
          <c:smooth val="0"/>
          <c:extLst>
            <c:ext xmlns:c16="http://schemas.microsoft.com/office/drawing/2014/chart" uri="{C3380CC4-5D6E-409C-BE32-E72D297353CC}">
              <c16:uniqueId val="{00000000-13B4-4D86-86D3-6DBD8ACDD6D7}"/>
            </c:ext>
          </c:extLst>
        </c:ser>
        <c:dLbls>
          <c:showLegendKey val="0"/>
          <c:showVal val="0"/>
          <c:showCatName val="0"/>
          <c:showSerName val="0"/>
          <c:showPercent val="0"/>
          <c:showBubbleSize val="0"/>
        </c:dLbls>
        <c:smooth val="0"/>
        <c:axId val="805516944"/>
        <c:axId val="805517272"/>
      </c:lineChart>
      <c:catAx>
        <c:axId val="80551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805517272"/>
        <c:crosses val="autoZero"/>
        <c:auto val="1"/>
        <c:lblAlgn val="ctr"/>
        <c:lblOffset val="100"/>
        <c:noMultiLvlLbl val="0"/>
      </c:catAx>
      <c:valAx>
        <c:axId val="805517272"/>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people</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8055169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Prev_Financial!$D$2</c:f>
              <c:strCache>
                <c:ptCount val="1"/>
                <c:pt idx="0">
                  <c:v>BUPROPION</c:v>
                </c:pt>
              </c:strCache>
            </c:strRef>
          </c:tx>
          <c:spPr>
            <a:ln w="28575" cap="rnd">
              <a:solidFill>
                <a:schemeClr val="accent1"/>
              </a:solidFill>
              <a:round/>
            </a:ln>
            <a:effectLst/>
          </c:spPr>
          <c:marker>
            <c:symbol val="none"/>
          </c:marker>
          <c:cat>
            <c:strRef>
              <c:f>Prev_Financial!$A$3:$A$12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Prev_Financial!$D$3:$D$12</c:f>
              <c:numCache>
                <c:formatCode>General</c:formatCode>
                <c:ptCount val="10"/>
                <c:pt idx="0">
                  <c:v>11662</c:v>
                </c:pt>
                <c:pt idx="1">
                  <c:v>10305</c:v>
                </c:pt>
                <c:pt idx="2">
                  <c:v>10498</c:v>
                </c:pt>
                <c:pt idx="3">
                  <c:v>10636</c:v>
                </c:pt>
                <c:pt idx="4">
                  <c:v>10811</c:v>
                </c:pt>
                <c:pt idx="5">
                  <c:v>11463</c:v>
                </c:pt>
                <c:pt idx="6">
                  <c:v>12947</c:v>
                </c:pt>
                <c:pt idx="7">
                  <c:v>14008</c:v>
                </c:pt>
                <c:pt idx="8">
                  <c:v>14451</c:v>
                </c:pt>
                <c:pt idx="9">
                  <c:v>4046</c:v>
                </c:pt>
              </c:numCache>
            </c:numRef>
          </c:val>
          <c:smooth val="0"/>
          <c:extLst>
            <c:ext xmlns:c16="http://schemas.microsoft.com/office/drawing/2014/chart" uri="{C3380CC4-5D6E-409C-BE32-E72D297353CC}">
              <c16:uniqueId val="{00000000-672B-4CB0-8774-33A2531B2E77}"/>
            </c:ext>
          </c:extLst>
        </c:ser>
        <c:ser>
          <c:idx val="1"/>
          <c:order val="1"/>
          <c:tx>
            <c:strRef>
              <c:f>Prev_Financial!$E$2</c:f>
              <c:strCache>
                <c:ptCount val="1"/>
                <c:pt idx="0">
                  <c:v>VARENICLINE</c:v>
                </c:pt>
              </c:strCache>
            </c:strRef>
          </c:tx>
          <c:spPr>
            <a:ln w="28575" cap="rnd">
              <a:solidFill>
                <a:schemeClr val="accent2"/>
              </a:solidFill>
              <a:round/>
            </a:ln>
            <a:effectLst/>
          </c:spPr>
          <c:marker>
            <c:symbol val="none"/>
          </c:marker>
          <c:cat>
            <c:strRef>
              <c:f>Prev_Financial!$A$3:$A$12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Prev_Financial!$E$3:$E$12</c:f>
              <c:numCache>
                <c:formatCode>General</c:formatCode>
                <c:ptCount val="10"/>
                <c:pt idx="0">
                  <c:v>327443</c:v>
                </c:pt>
                <c:pt idx="1">
                  <c:v>242572</c:v>
                </c:pt>
                <c:pt idx="2">
                  <c:v>232231</c:v>
                </c:pt>
                <c:pt idx="3">
                  <c:v>212274</c:v>
                </c:pt>
                <c:pt idx="4">
                  <c:v>203709</c:v>
                </c:pt>
                <c:pt idx="5">
                  <c:v>182422</c:v>
                </c:pt>
                <c:pt idx="6">
                  <c:v>169775</c:v>
                </c:pt>
                <c:pt idx="7">
                  <c:v>173615</c:v>
                </c:pt>
                <c:pt idx="8">
                  <c:v>168008</c:v>
                </c:pt>
                <c:pt idx="9">
                  <c:v>164928</c:v>
                </c:pt>
              </c:numCache>
            </c:numRef>
          </c:val>
          <c:smooth val="0"/>
          <c:extLst>
            <c:ext xmlns:c16="http://schemas.microsoft.com/office/drawing/2014/chart" uri="{C3380CC4-5D6E-409C-BE32-E72D297353CC}">
              <c16:uniqueId val="{00000001-672B-4CB0-8774-33A2531B2E77}"/>
            </c:ext>
          </c:extLst>
        </c:ser>
        <c:ser>
          <c:idx val="2"/>
          <c:order val="2"/>
          <c:tx>
            <c:strRef>
              <c:f>Prev_Financial!$F$2</c:f>
              <c:strCache>
                <c:ptCount val="1"/>
                <c:pt idx="0">
                  <c:v>NICOTINE</c:v>
                </c:pt>
              </c:strCache>
            </c:strRef>
          </c:tx>
          <c:spPr>
            <a:ln w="28575" cap="rnd">
              <a:solidFill>
                <a:schemeClr val="accent3"/>
              </a:solidFill>
              <a:round/>
            </a:ln>
            <a:effectLst/>
          </c:spPr>
          <c:marker>
            <c:symbol val="none"/>
          </c:marker>
          <c:cat>
            <c:strRef>
              <c:f>Prev_Financial!$A$3:$A$12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Prev_Financial!$F$3:$F$12</c:f>
              <c:numCache>
                <c:formatCode>General</c:formatCode>
                <c:ptCount val="10"/>
                <c:pt idx="0">
                  <c:v>95938</c:v>
                </c:pt>
                <c:pt idx="1">
                  <c:v>114166</c:v>
                </c:pt>
                <c:pt idx="2">
                  <c:v>85760</c:v>
                </c:pt>
                <c:pt idx="3">
                  <c:v>78340</c:v>
                </c:pt>
                <c:pt idx="4">
                  <c:v>79994</c:v>
                </c:pt>
                <c:pt idx="5">
                  <c:v>90304</c:v>
                </c:pt>
                <c:pt idx="6">
                  <c:v>96556</c:v>
                </c:pt>
                <c:pt idx="7">
                  <c:v>103715</c:v>
                </c:pt>
                <c:pt idx="8">
                  <c:v>106421</c:v>
                </c:pt>
                <c:pt idx="9">
                  <c:v>107537</c:v>
                </c:pt>
              </c:numCache>
            </c:numRef>
          </c:val>
          <c:smooth val="0"/>
          <c:extLst>
            <c:ext xmlns:c16="http://schemas.microsoft.com/office/drawing/2014/chart" uri="{C3380CC4-5D6E-409C-BE32-E72D297353CC}">
              <c16:uniqueId val="{00000002-672B-4CB0-8774-33A2531B2E77}"/>
            </c:ext>
          </c:extLst>
        </c:ser>
        <c:dLbls>
          <c:showLegendKey val="0"/>
          <c:showVal val="0"/>
          <c:showCatName val="0"/>
          <c:showSerName val="0"/>
          <c:showPercent val="0"/>
          <c:showBubbleSize val="0"/>
        </c:dLbls>
        <c:smooth val="0"/>
        <c:axId val="651200328"/>
        <c:axId val="651200656"/>
      </c:lineChart>
      <c:catAx>
        <c:axId val="651200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651200656"/>
        <c:crosses val="autoZero"/>
        <c:auto val="1"/>
        <c:lblAlgn val="ctr"/>
        <c:lblOffset val="100"/>
        <c:noMultiLvlLbl val="0"/>
      </c:catAx>
      <c:valAx>
        <c:axId val="651200656"/>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people</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651200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35870516185476"/>
          <c:y val="8.3747327111267658E-2"/>
          <c:w val="0.74336329833770787"/>
          <c:h val="0.63300747151015069"/>
        </c:manualLayout>
      </c:layout>
      <c:barChart>
        <c:barDir val="col"/>
        <c:grouping val="clustered"/>
        <c:varyColors val="0"/>
        <c:ser>
          <c:idx val="1"/>
          <c:order val="0"/>
          <c:tx>
            <c:strRef>
              <c:f>Prev_Financial!$B$14</c:f>
              <c:strCache>
                <c:ptCount val="1"/>
                <c:pt idx="0">
                  <c:v>Females</c:v>
                </c:pt>
              </c:strCache>
            </c:strRef>
          </c:tx>
          <c:spPr>
            <a:ln w="28575" cap="rnd">
              <a:solidFill>
                <a:schemeClr val="accent2"/>
              </a:solidFill>
              <a:round/>
            </a:ln>
            <a:effectLst/>
          </c:spPr>
          <c:invertIfNegative val="0"/>
          <c:cat>
            <c:strRef>
              <c:f>Prev_Financial!$A$15:$A$24</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Prev_Financial!$B$15:$B$24</c:f>
              <c:numCache>
                <c:formatCode>General</c:formatCode>
                <c:ptCount val="10"/>
                <c:pt idx="0">
                  <c:v>195285</c:v>
                </c:pt>
                <c:pt idx="1">
                  <c:v>166954</c:v>
                </c:pt>
                <c:pt idx="2">
                  <c:v>148404</c:v>
                </c:pt>
                <c:pt idx="3">
                  <c:v>137754</c:v>
                </c:pt>
                <c:pt idx="4">
                  <c:v>133837</c:v>
                </c:pt>
                <c:pt idx="5">
                  <c:v>128934</c:v>
                </c:pt>
                <c:pt idx="6">
                  <c:v>126758</c:v>
                </c:pt>
                <c:pt idx="7">
                  <c:v>133128</c:v>
                </c:pt>
                <c:pt idx="8">
                  <c:v>131801</c:v>
                </c:pt>
                <c:pt idx="9">
                  <c:v>126202</c:v>
                </c:pt>
              </c:numCache>
            </c:numRef>
          </c:val>
          <c:extLst>
            <c:ext xmlns:c16="http://schemas.microsoft.com/office/drawing/2014/chart" uri="{C3380CC4-5D6E-409C-BE32-E72D297353CC}">
              <c16:uniqueId val="{00000000-B6C3-4A27-9DC8-E7E1FB739A38}"/>
            </c:ext>
          </c:extLst>
        </c:ser>
        <c:ser>
          <c:idx val="2"/>
          <c:order val="1"/>
          <c:tx>
            <c:strRef>
              <c:f>Prev_Financial!$C$14</c:f>
              <c:strCache>
                <c:ptCount val="1"/>
                <c:pt idx="0">
                  <c:v>Males</c:v>
                </c:pt>
              </c:strCache>
            </c:strRef>
          </c:tx>
          <c:spPr>
            <a:ln w="28575" cap="rnd">
              <a:solidFill>
                <a:schemeClr val="accent3"/>
              </a:solidFill>
              <a:round/>
            </a:ln>
            <a:effectLst/>
          </c:spPr>
          <c:invertIfNegative val="0"/>
          <c:cat>
            <c:strRef>
              <c:f>Prev_Financial!$A$15:$A$24</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Prev_Financial!$C$15:$C$24</c:f>
              <c:numCache>
                <c:formatCode>General</c:formatCode>
                <c:ptCount val="10"/>
                <c:pt idx="0">
                  <c:v>225724</c:v>
                </c:pt>
                <c:pt idx="1">
                  <c:v>188960</c:v>
                </c:pt>
                <c:pt idx="2">
                  <c:v>171582</c:v>
                </c:pt>
                <c:pt idx="3">
                  <c:v>155718</c:v>
                </c:pt>
                <c:pt idx="4">
                  <c:v>152134</c:v>
                </c:pt>
                <c:pt idx="5">
                  <c:v>145788</c:v>
                </c:pt>
                <c:pt idx="6">
                  <c:v>142122</c:v>
                </c:pt>
                <c:pt idx="7">
                  <c:v>146043</c:v>
                </c:pt>
                <c:pt idx="8">
                  <c:v>144411</c:v>
                </c:pt>
                <c:pt idx="9">
                  <c:v>139342</c:v>
                </c:pt>
              </c:numCache>
            </c:numRef>
          </c:val>
          <c:extLst>
            <c:ext xmlns:c16="http://schemas.microsoft.com/office/drawing/2014/chart" uri="{C3380CC4-5D6E-409C-BE32-E72D297353CC}">
              <c16:uniqueId val="{00000001-B6C3-4A27-9DC8-E7E1FB739A38}"/>
            </c:ext>
          </c:extLst>
        </c:ser>
        <c:dLbls>
          <c:showLegendKey val="0"/>
          <c:showVal val="0"/>
          <c:showCatName val="0"/>
          <c:showSerName val="0"/>
          <c:showPercent val="0"/>
          <c:showBubbleSize val="0"/>
        </c:dLbls>
        <c:gapWidth val="150"/>
        <c:axId val="638860720"/>
        <c:axId val="1"/>
      </c:barChart>
      <c:catAx>
        <c:axId val="63886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a:lstStyle/>
              <a:p>
                <a:pPr>
                  <a:defRPr/>
                </a:pPr>
                <a:r>
                  <a:rPr lang="en-US"/>
                  <a:t>Number of people</a:t>
                </a:r>
              </a:p>
            </c:rich>
          </c:tx>
          <c:layout/>
          <c:overlay val="0"/>
        </c:title>
        <c:numFmt formatCode="General" sourceLinked="1"/>
        <c:majorTickMark val="none"/>
        <c:minorTickMark val="none"/>
        <c:tickLblPos val="nextTo"/>
        <c:spPr>
          <a:ln w="6350">
            <a:noFill/>
          </a:ln>
        </c:spPr>
        <c:txPr>
          <a:bodyPr rot="-60000000" vert="horz"/>
          <a:lstStyle/>
          <a:p>
            <a:pPr>
              <a:defRPr/>
            </a:pPr>
            <a:endParaRPr lang="en-US"/>
          </a:p>
        </c:txPr>
        <c:crossAx val="638860720"/>
        <c:crosses val="autoZero"/>
        <c:crossBetween val="between"/>
      </c:valAx>
      <c:spPr>
        <a:noFill/>
        <a:ln w="25400">
          <a:noFill/>
        </a:ln>
      </c:spPr>
    </c:plotArea>
    <c:legend>
      <c:legendPos val="r"/>
      <c:layout>
        <c:manualLayout>
          <c:xMode val="edge"/>
          <c:yMode val="edge"/>
          <c:x val="0.36760129405449948"/>
          <c:y val="0.10153035615073656"/>
          <c:w val="0.56666732283464583"/>
          <c:h val="0.11501463275557008"/>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Inc_Financial!$F$2</c:f>
              <c:strCache>
                <c:ptCount val="1"/>
                <c:pt idx="0">
                  <c:v>First ever initiation</c:v>
                </c:pt>
              </c:strCache>
            </c:strRef>
          </c:tx>
          <c:spPr>
            <a:ln w="28575" cap="rnd">
              <a:solidFill>
                <a:schemeClr val="accent1"/>
              </a:solidFill>
              <a:round/>
            </a:ln>
            <a:effectLst/>
          </c:spPr>
          <c:marker>
            <c:symbol val="none"/>
          </c:marker>
          <c:cat>
            <c:strRef>
              <c:f>Inc_Financial!$A$3:$A$12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Inc_Financial!$F$3:$F$12</c:f>
              <c:numCache>
                <c:formatCode>General</c:formatCode>
                <c:ptCount val="10"/>
                <c:pt idx="0">
                  <c:v>256162</c:v>
                </c:pt>
                <c:pt idx="1">
                  <c:v>161437</c:v>
                </c:pt>
                <c:pt idx="2">
                  <c:v>126067</c:v>
                </c:pt>
                <c:pt idx="3">
                  <c:v>103578</c:v>
                </c:pt>
                <c:pt idx="4">
                  <c:v>92838</c:v>
                </c:pt>
                <c:pt idx="5">
                  <c:v>81890</c:v>
                </c:pt>
                <c:pt idx="6">
                  <c:v>77072</c:v>
                </c:pt>
                <c:pt idx="7">
                  <c:v>76454</c:v>
                </c:pt>
                <c:pt idx="8">
                  <c:v>70568</c:v>
                </c:pt>
                <c:pt idx="9">
                  <c:v>64543</c:v>
                </c:pt>
              </c:numCache>
            </c:numRef>
          </c:val>
          <c:smooth val="0"/>
          <c:extLst>
            <c:ext xmlns:c16="http://schemas.microsoft.com/office/drawing/2014/chart" uri="{C3380CC4-5D6E-409C-BE32-E72D297353CC}">
              <c16:uniqueId val="{00000000-4425-426D-8C41-19D8E9DF1718}"/>
            </c:ext>
          </c:extLst>
        </c:ser>
        <c:ser>
          <c:idx val="1"/>
          <c:order val="1"/>
          <c:tx>
            <c:strRef>
              <c:f>Inc_Financial!$N$2</c:f>
              <c:strCache>
                <c:ptCount val="1"/>
                <c:pt idx="0">
                  <c:v>Initiation after one year of no use </c:v>
                </c:pt>
              </c:strCache>
            </c:strRef>
          </c:tx>
          <c:spPr>
            <a:ln w="28575" cap="rnd">
              <a:solidFill>
                <a:schemeClr val="accent2"/>
              </a:solidFill>
              <a:round/>
            </a:ln>
            <a:effectLst/>
          </c:spPr>
          <c:marker>
            <c:symbol val="none"/>
          </c:marker>
          <c:cat>
            <c:strRef>
              <c:f>Inc_Financial!$A$3:$A$12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Inc_Financial!$N$3:$N$12</c:f>
              <c:numCache>
                <c:formatCode>General</c:formatCode>
                <c:ptCount val="10"/>
                <c:pt idx="0">
                  <c:v>256162</c:v>
                </c:pt>
                <c:pt idx="1">
                  <c:v>283485</c:v>
                </c:pt>
                <c:pt idx="2">
                  <c:v>263378</c:v>
                </c:pt>
                <c:pt idx="3">
                  <c:v>241416</c:v>
                </c:pt>
                <c:pt idx="4">
                  <c:v>232543</c:v>
                </c:pt>
                <c:pt idx="5">
                  <c:v>214224</c:v>
                </c:pt>
                <c:pt idx="6">
                  <c:v>206049</c:v>
                </c:pt>
                <c:pt idx="7">
                  <c:v>211822</c:v>
                </c:pt>
                <c:pt idx="8">
                  <c:v>200304</c:v>
                </c:pt>
                <c:pt idx="9">
                  <c:v>191076</c:v>
                </c:pt>
              </c:numCache>
            </c:numRef>
          </c:val>
          <c:smooth val="0"/>
          <c:extLst>
            <c:ext xmlns:c16="http://schemas.microsoft.com/office/drawing/2014/chart" uri="{C3380CC4-5D6E-409C-BE32-E72D297353CC}">
              <c16:uniqueId val="{00000001-4425-426D-8C41-19D8E9DF1718}"/>
            </c:ext>
          </c:extLst>
        </c:ser>
        <c:dLbls>
          <c:showLegendKey val="0"/>
          <c:showVal val="0"/>
          <c:showCatName val="0"/>
          <c:showSerName val="0"/>
          <c:showPercent val="0"/>
          <c:showBubbleSize val="0"/>
        </c:dLbls>
        <c:smooth val="0"/>
        <c:axId val="761797496"/>
        <c:axId val="761797168"/>
      </c:lineChart>
      <c:catAx>
        <c:axId val="76179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61797168"/>
        <c:crosses val="autoZero"/>
        <c:auto val="1"/>
        <c:lblAlgn val="ctr"/>
        <c:lblOffset val="100"/>
        <c:noMultiLvlLbl val="0"/>
      </c:catAx>
      <c:valAx>
        <c:axId val="76179716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people</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61797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15048118985127"/>
          <c:y val="0.16595078299776286"/>
          <c:w val="0.78682579649817319"/>
          <c:h val="0.52655850904542978"/>
        </c:manualLayout>
      </c:layout>
      <c:lineChart>
        <c:grouping val="standard"/>
        <c:varyColors val="0"/>
        <c:ser>
          <c:idx val="1"/>
          <c:order val="0"/>
          <c:tx>
            <c:strRef>
              <c:f>Inc_Financial!$B$2</c:f>
              <c:strCache>
                <c:ptCount val="1"/>
                <c:pt idx="0">
                  <c:v>BUPROPION</c:v>
                </c:pt>
              </c:strCache>
            </c:strRef>
          </c:tx>
          <c:spPr>
            <a:ln w="28575" cap="rnd">
              <a:solidFill>
                <a:schemeClr val="accent2"/>
              </a:solidFill>
              <a:round/>
            </a:ln>
            <a:effectLst/>
          </c:spPr>
          <c:marker>
            <c:symbol val="none"/>
          </c:marker>
          <c:cat>
            <c:strRef>
              <c:f>Inc_Financial!$A$4:$A$12</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Inc_Financial!$B$4:$B$12</c:f>
              <c:numCache>
                <c:formatCode>General</c:formatCode>
                <c:ptCount val="9"/>
                <c:pt idx="0">
                  <c:v>2934</c:v>
                </c:pt>
                <c:pt idx="1">
                  <c:v>2593</c:v>
                </c:pt>
                <c:pt idx="2">
                  <c:v>2473</c:v>
                </c:pt>
                <c:pt idx="3">
                  <c:v>2394</c:v>
                </c:pt>
                <c:pt idx="4">
                  <c:v>2373</c:v>
                </c:pt>
                <c:pt idx="5">
                  <c:v>2752</c:v>
                </c:pt>
                <c:pt idx="6">
                  <c:v>2982</c:v>
                </c:pt>
                <c:pt idx="7">
                  <c:v>2869</c:v>
                </c:pt>
                <c:pt idx="8">
                  <c:v>608</c:v>
                </c:pt>
              </c:numCache>
            </c:numRef>
          </c:val>
          <c:smooth val="0"/>
          <c:extLst>
            <c:ext xmlns:c16="http://schemas.microsoft.com/office/drawing/2014/chart" uri="{C3380CC4-5D6E-409C-BE32-E72D297353CC}">
              <c16:uniqueId val="{00000000-7D7B-48D8-8F63-F030F9F60417}"/>
            </c:ext>
          </c:extLst>
        </c:ser>
        <c:ser>
          <c:idx val="2"/>
          <c:order val="1"/>
          <c:tx>
            <c:strRef>
              <c:f>Inc_Financial!$C$2</c:f>
              <c:strCache>
                <c:ptCount val="1"/>
                <c:pt idx="0">
                  <c:v>VARENICLINE</c:v>
                </c:pt>
              </c:strCache>
            </c:strRef>
          </c:tx>
          <c:spPr>
            <a:ln w="28575" cap="rnd">
              <a:solidFill>
                <a:schemeClr val="accent3"/>
              </a:solidFill>
              <a:round/>
            </a:ln>
            <a:effectLst/>
          </c:spPr>
          <c:marker>
            <c:symbol val="none"/>
          </c:marker>
          <c:cat>
            <c:strRef>
              <c:f>Inc_Financial!$A$4:$A$12</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Inc_Financial!$C$4:$C$12</c:f>
              <c:numCache>
                <c:formatCode>General</c:formatCode>
                <c:ptCount val="9"/>
                <c:pt idx="0">
                  <c:v>110011</c:v>
                </c:pt>
                <c:pt idx="1">
                  <c:v>92009</c:v>
                </c:pt>
                <c:pt idx="2">
                  <c:v>75026</c:v>
                </c:pt>
                <c:pt idx="3">
                  <c:v>65418</c:v>
                </c:pt>
                <c:pt idx="4">
                  <c:v>52272</c:v>
                </c:pt>
                <c:pt idx="5">
                  <c:v>46284</c:v>
                </c:pt>
                <c:pt idx="6">
                  <c:v>45198</c:v>
                </c:pt>
                <c:pt idx="7">
                  <c:v>40256</c:v>
                </c:pt>
                <c:pt idx="8">
                  <c:v>37151</c:v>
                </c:pt>
              </c:numCache>
            </c:numRef>
          </c:val>
          <c:smooth val="0"/>
          <c:extLst>
            <c:ext xmlns:c16="http://schemas.microsoft.com/office/drawing/2014/chart" uri="{C3380CC4-5D6E-409C-BE32-E72D297353CC}">
              <c16:uniqueId val="{00000001-7D7B-48D8-8F63-F030F9F60417}"/>
            </c:ext>
          </c:extLst>
        </c:ser>
        <c:ser>
          <c:idx val="3"/>
          <c:order val="2"/>
          <c:tx>
            <c:strRef>
              <c:f>Inc_Financial!$D$2</c:f>
              <c:strCache>
                <c:ptCount val="1"/>
                <c:pt idx="0">
                  <c:v>NICOTINE</c:v>
                </c:pt>
              </c:strCache>
            </c:strRef>
          </c:tx>
          <c:spPr>
            <a:ln w="28575" cap="rnd">
              <a:solidFill>
                <a:schemeClr val="accent4"/>
              </a:solidFill>
              <a:round/>
            </a:ln>
            <a:effectLst/>
          </c:spPr>
          <c:marker>
            <c:symbol val="none"/>
          </c:marker>
          <c:cat>
            <c:strRef>
              <c:f>Inc_Financial!$A$4:$A$12</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Inc_Financial!$D$4:$D$12</c:f>
              <c:numCache>
                <c:formatCode>General</c:formatCode>
                <c:ptCount val="9"/>
                <c:pt idx="0">
                  <c:v>48493</c:v>
                </c:pt>
                <c:pt idx="1">
                  <c:v>31464</c:v>
                </c:pt>
                <c:pt idx="2">
                  <c:v>26079</c:v>
                </c:pt>
                <c:pt idx="3">
                  <c:v>25026</c:v>
                </c:pt>
                <c:pt idx="4">
                  <c:v>27245</c:v>
                </c:pt>
                <c:pt idx="5">
                  <c:v>28036</c:v>
                </c:pt>
                <c:pt idx="6">
                  <c:v>28274</c:v>
                </c:pt>
                <c:pt idx="7">
                  <c:v>27443</c:v>
                </c:pt>
                <c:pt idx="8">
                  <c:v>26784</c:v>
                </c:pt>
              </c:numCache>
            </c:numRef>
          </c:val>
          <c:smooth val="0"/>
          <c:extLst>
            <c:ext xmlns:c16="http://schemas.microsoft.com/office/drawing/2014/chart" uri="{C3380CC4-5D6E-409C-BE32-E72D297353CC}">
              <c16:uniqueId val="{00000002-7D7B-48D8-8F63-F030F9F60417}"/>
            </c:ext>
          </c:extLst>
        </c:ser>
        <c:dLbls>
          <c:showLegendKey val="0"/>
          <c:showVal val="0"/>
          <c:showCatName val="0"/>
          <c:showSerName val="0"/>
          <c:showPercent val="0"/>
          <c:showBubbleSize val="0"/>
        </c:dLbls>
        <c:smooth val="0"/>
        <c:axId val="639475504"/>
        <c:axId val="1"/>
      </c:lineChart>
      <c:catAx>
        <c:axId val="63947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Number of people</a:t>
                </a:r>
              </a:p>
            </c:rich>
          </c:tx>
          <c:layout/>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639475504"/>
        <c:crosses val="autoZero"/>
        <c:crossBetween val="between"/>
      </c:valAx>
      <c:spPr>
        <a:noFill/>
        <a:ln w="25400">
          <a:noFill/>
        </a:ln>
      </c:spPr>
    </c:plotArea>
    <c:legend>
      <c:legendPos val="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Init_Age!$B$1</c:f>
              <c:strCache>
                <c:ptCount val="1"/>
                <c:pt idx="0">
                  <c:v>&lt;18</c:v>
                </c:pt>
              </c:strCache>
            </c:strRef>
          </c:tx>
          <c:spPr>
            <a:solidFill>
              <a:schemeClr val="accent1"/>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Init_Age!$B$2:$B$10</c:f>
              <c:numCache>
                <c:formatCode>General</c:formatCode>
                <c:ptCount val="9"/>
                <c:pt idx="0">
                  <c:v>1390</c:v>
                </c:pt>
                <c:pt idx="1">
                  <c:v>1029</c:v>
                </c:pt>
                <c:pt idx="2">
                  <c:v>791</c:v>
                </c:pt>
                <c:pt idx="3">
                  <c:v>745</c:v>
                </c:pt>
                <c:pt idx="4">
                  <c:v>784</c:v>
                </c:pt>
                <c:pt idx="5">
                  <c:v>687</c:v>
                </c:pt>
                <c:pt idx="6">
                  <c:v>696</c:v>
                </c:pt>
                <c:pt idx="7">
                  <c:v>626</c:v>
                </c:pt>
                <c:pt idx="8">
                  <c:v>618</c:v>
                </c:pt>
              </c:numCache>
            </c:numRef>
          </c:val>
          <c:extLst>
            <c:ext xmlns:c16="http://schemas.microsoft.com/office/drawing/2014/chart" uri="{C3380CC4-5D6E-409C-BE32-E72D297353CC}">
              <c16:uniqueId val="{00000000-0F4C-4304-AE55-78270841EF09}"/>
            </c:ext>
          </c:extLst>
        </c:ser>
        <c:ser>
          <c:idx val="1"/>
          <c:order val="1"/>
          <c:tx>
            <c:strRef>
              <c:f>Init_Age!$C$1</c:f>
              <c:strCache>
                <c:ptCount val="1"/>
                <c:pt idx="0">
                  <c:v>18-24</c:v>
                </c:pt>
              </c:strCache>
            </c:strRef>
          </c:tx>
          <c:spPr>
            <a:solidFill>
              <a:schemeClr val="accent2"/>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Init_Age!$C$2:$C$10</c:f>
              <c:numCache>
                <c:formatCode>General</c:formatCode>
                <c:ptCount val="9"/>
                <c:pt idx="0">
                  <c:v>17117</c:v>
                </c:pt>
                <c:pt idx="1">
                  <c:v>14469</c:v>
                </c:pt>
                <c:pt idx="2">
                  <c:v>12009</c:v>
                </c:pt>
                <c:pt idx="3">
                  <c:v>10926</c:v>
                </c:pt>
                <c:pt idx="4">
                  <c:v>9375</c:v>
                </c:pt>
                <c:pt idx="5">
                  <c:v>8611</c:v>
                </c:pt>
                <c:pt idx="6">
                  <c:v>8439</c:v>
                </c:pt>
                <c:pt idx="7">
                  <c:v>7461</c:v>
                </c:pt>
                <c:pt idx="8">
                  <c:v>6813</c:v>
                </c:pt>
              </c:numCache>
            </c:numRef>
          </c:val>
          <c:extLst>
            <c:ext xmlns:c16="http://schemas.microsoft.com/office/drawing/2014/chart" uri="{C3380CC4-5D6E-409C-BE32-E72D297353CC}">
              <c16:uniqueId val="{00000001-0F4C-4304-AE55-78270841EF09}"/>
            </c:ext>
          </c:extLst>
        </c:ser>
        <c:ser>
          <c:idx val="2"/>
          <c:order val="2"/>
          <c:tx>
            <c:strRef>
              <c:f>Init_Age!$D$1</c:f>
              <c:strCache>
                <c:ptCount val="1"/>
                <c:pt idx="0">
                  <c:v>25-34</c:v>
                </c:pt>
              </c:strCache>
            </c:strRef>
          </c:tx>
          <c:spPr>
            <a:solidFill>
              <a:schemeClr val="accent3"/>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Init_Age!$D$2:$D$10</c:f>
              <c:numCache>
                <c:formatCode>General</c:formatCode>
                <c:ptCount val="9"/>
                <c:pt idx="0">
                  <c:v>36069</c:v>
                </c:pt>
                <c:pt idx="1">
                  <c:v>28890</c:v>
                </c:pt>
                <c:pt idx="2">
                  <c:v>23397</c:v>
                </c:pt>
                <c:pt idx="3">
                  <c:v>21027</c:v>
                </c:pt>
                <c:pt idx="4">
                  <c:v>18110</c:v>
                </c:pt>
                <c:pt idx="5">
                  <c:v>17082</c:v>
                </c:pt>
                <c:pt idx="6">
                  <c:v>16573</c:v>
                </c:pt>
                <c:pt idx="7">
                  <c:v>14953</c:v>
                </c:pt>
                <c:pt idx="8">
                  <c:v>14013</c:v>
                </c:pt>
              </c:numCache>
            </c:numRef>
          </c:val>
          <c:extLst>
            <c:ext xmlns:c16="http://schemas.microsoft.com/office/drawing/2014/chart" uri="{C3380CC4-5D6E-409C-BE32-E72D297353CC}">
              <c16:uniqueId val="{00000002-0F4C-4304-AE55-78270841EF09}"/>
            </c:ext>
          </c:extLst>
        </c:ser>
        <c:ser>
          <c:idx val="3"/>
          <c:order val="3"/>
          <c:tx>
            <c:strRef>
              <c:f>Init_Age!$E$1</c:f>
              <c:strCache>
                <c:ptCount val="1"/>
                <c:pt idx="0">
                  <c:v>35-54</c:v>
                </c:pt>
              </c:strCache>
            </c:strRef>
          </c:tx>
          <c:spPr>
            <a:solidFill>
              <a:schemeClr val="accent4"/>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Init_Age!$E$2:$E$10</c:f>
              <c:numCache>
                <c:formatCode>General</c:formatCode>
                <c:ptCount val="9"/>
                <c:pt idx="0">
                  <c:v>72596</c:v>
                </c:pt>
                <c:pt idx="1">
                  <c:v>55622</c:v>
                </c:pt>
                <c:pt idx="2">
                  <c:v>44820</c:v>
                </c:pt>
                <c:pt idx="3">
                  <c:v>39672</c:v>
                </c:pt>
                <c:pt idx="4">
                  <c:v>34124</c:v>
                </c:pt>
                <c:pt idx="5">
                  <c:v>31758</c:v>
                </c:pt>
                <c:pt idx="6">
                  <c:v>30612</c:v>
                </c:pt>
                <c:pt idx="7">
                  <c:v>28423</c:v>
                </c:pt>
                <c:pt idx="8">
                  <c:v>25477</c:v>
                </c:pt>
              </c:numCache>
            </c:numRef>
          </c:val>
          <c:extLst>
            <c:ext xmlns:c16="http://schemas.microsoft.com/office/drawing/2014/chart" uri="{C3380CC4-5D6E-409C-BE32-E72D297353CC}">
              <c16:uniqueId val="{00000003-0F4C-4304-AE55-78270841EF09}"/>
            </c:ext>
          </c:extLst>
        </c:ser>
        <c:ser>
          <c:idx val="4"/>
          <c:order val="4"/>
          <c:tx>
            <c:strRef>
              <c:f>Init_Age!$F$1</c:f>
              <c:strCache>
                <c:ptCount val="1"/>
                <c:pt idx="0">
                  <c:v>55-64</c:v>
                </c:pt>
              </c:strCache>
            </c:strRef>
          </c:tx>
          <c:spPr>
            <a:solidFill>
              <a:schemeClr val="accent5"/>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Init_Age!$F$2:$F$10</c:f>
              <c:numCache>
                <c:formatCode>General</c:formatCode>
                <c:ptCount val="9"/>
                <c:pt idx="0">
                  <c:v>21813</c:v>
                </c:pt>
                <c:pt idx="1">
                  <c:v>16626</c:v>
                </c:pt>
                <c:pt idx="2">
                  <c:v>14252</c:v>
                </c:pt>
                <c:pt idx="3">
                  <c:v>12850</c:v>
                </c:pt>
                <c:pt idx="4">
                  <c:v>12024</c:v>
                </c:pt>
                <c:pt idx="5">
                  <c:v>11598</c:v>
                </c:pt>
                <c:pt idx="6">
                  <c:v>12104</c:v>
                </c:pt>
                <c:pt idx="7">
                  <c:v>11415</c:v>
                </c:pt>
                <c:pt idx="8">
                  <c:v>10561</c:v>
                </c:pt>
              </c:numCache>
            </c:numRef>
          </c:val>
          <c:extLst>
            <c:ext xmlns:c16="http://schemas.microsoft.com/office/drawing/2014/chart" uri="{C3380CC4-5D6E-409C-BE32-E72D297353CC}">
              <c16:uniqueId val="{00000004-0F4C-4304-AE55-78270841EF09}"/>
            </c:ext>
          </c:extLst>
        </c:ser>
        <c:ser>
          <c:idx val="5"/>
          <c:order val="5"/>
          <c:tx>
            <c:strRef>
              <c:f>Init_Age!$G$1</c:f>
              <c:strCache>
                <c:ptCount val="1"/>
                <c:pt idx="0">
                  <c:v>65+</c:v>
                </c:pt>
              </c:strCache>
            </c:strRef>
          </c:tx>
          <c:spPr>
            <a:solidFill>
              <a:schemeClr val="accent6"/>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Init_Age!$G$2:$G$10</c:f>
              <c:numCache>
                <c:formatCode>General</c:formatCode>
                <c:ptCount val="9"/>
                <c:pt idx="0">
                  <c:v>12452</c:v>
                </c:pt>
                <c:pt idx="1">
                  <c:v>9431</c:v>
                </c:pt>
                <c:pt idx="2">
                  <c:v>8309</c:v>
                </c:pt>
                <c:pt idx="3">
                  <c:v>7618</c:v>
                </c:pt>
                <c:pt idx="4">
                  <c:v>7473</c:v>
                </c:pt>
                <c:pt idx="5">
                  <c:v>7336</c:v>
                </c:pt>
                <c:pt idx="6">
                  <c:v>8030</c:v>
                </c:pt>
                <c:pt idx="7">
                  <c:v>7690</c:v>
                </c:pt>
                <c:pt idx="8">
                  <c:v>7061</c:v>
                </c:pt>
              </c:numCache>
            </c:numRef>
          </c:val>
          <c:extLst>
            <c:ext xmlns:c16="http://schemas.microsoft.com/office/drawing/2014/chart" uri="{C3380CC4-5D6E-409C-BE32-E72D297353CC}">
              <c16:uniqueId val="{00000005-0F4C-4304-AE55-78270841EF09}"/>
            </c:ext>
          </c:extLst>
        </c:ser>
        <c:dLbls>
          <c:showLegendKey val="0"/>
          <c:showVal val="0"/>
          <c:showCatName val="0"/>
          <c:showSerName val="0"/>
          <c:showPercent val="0"/>
          <c:showBubbleSize val="0"/>
        </c:dLbls>
        <c:gapWidth val="150"/>
        <c:overlap val="100"/>
        <c:axId val="621972720"/>
        <c:axId val="1"/>
      </c:barChart>
      <c:catAx>
        <c:axId val="62197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Number of people</a:t>
                </a:r>
              </a:p>
            </c:rich>
          </c:tx>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621972720"/>
        <c:crosses val="autoZero"/>
        <c:crossBetween val="between"/>
      </c:valAx>
      <c:spPr>
        <a:noFill/>
        <a:ln w="25400">
          <a:noFill/>
        </a:ln>
      </c:spPr>
    </c:plotArea>
    <c:legend>
      <c:legendPos val="b"/>
      <c:layout>
        <c:manualLayout>
          <c:xMode val="edge"/>
          <c:yMode val="edge"/>
          <c:x val="0.21666710747702531"/>
          <c:y val="0.89597462244163961"/>
          <c:w val="0.56875115712719138"/>
          <c:h val="7.3825624321033984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Status_age!$A$8</c:f>
              <c:strCache>
                <c:ptCount val="1"/>
                <c:pt idx="0">
                  <c:v>Rate per 1000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Status_age!$B$2:$G$2</c:f>
              <c:strCache>
                <c:ptCount val="6"/>
                <c:pt idx="0">
                  <c:v>&lt;18 </c:v>
                </c:pt>
                <c:pt idx="1">
                  <c:v>18-24</c:v>
                </c:pt>
                <c:pt idx="2">
                  <c:v>25-34</c:v>
                </c:pt>
                <c:pt idx="3">
                  <c:v>35-54</c:v>
                </c:pt>
                <c:pt idx="4">
                  <c:v>55-64</c:v>
                </c:pt>
                <c:pt idx="5">
                  <c:v>65+</c:v>
                </c:pt>
              </c:strCache>
            </c:strRef>
          </c:cat>
          <c:val>
            <c:numRef>
              <c:f>Status_age!$B$8:$G$8</c:f>
              <c:numCache>
                <c:formatCode>General</c:formatCode>
                <c:ptCount val="6"/>
                <c:pt idx="0">
                  <c:v>0.1</c:v>
                </c:pt>
                <c:pt idx="1">
                  <c:v>3.3</c:v>
                </c:pt>
                <c:pt idx="2">
                  <c:v>3.7</c:v>
                </c:pt>
                <c:pt idx="3">
                  <c:v>3.9</c:v>
                </c:pt>
                <c:pt idx="4">
                  <c:v>3.6</c:v>
                </c:pt>
                <c:pt idx="5">
                  <c:v>2</c:v>
                </c:pt>
              </c:numCache>
            </c:numRef>
          </c:val>
          <c:extLst>
            <c:ext xmlns:c16="http://schemas.microsoft.com/office/drawing/2014/chart" uri="{C3380CC4-5D6E-409C-BE32-E72D297353CC}">
              <c16:uniqueId val="{00000000-1A5C-4678-A605-9C92D9740B45}"/>
            </c:ext>
          </c:extLst>
        </c:ser>
        <c:dLbls>
          <c:showLegendKey val="0"/>
          <c:showVal val="0"/>
          <c:showCatName val="0"/>
          <c:showSerName val="0"/>
          <c:showPercent val="0"/>
          <c:showBubbleSize val="0"/>
        </c:dLbls>
        <c:gapWidth val="219"/>
        <c:overlap val="-27"/>
        <c:axId val="633779504"/>
        <c:axId val="633780816"/>
      </c:barChart>
      <c:catAx>
        <c:axId val="63377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3780816"/>
        <c:crosses val="autoZero"/>
        <c:auto val="1"/>
        <c:lblAlgn val="ctr"/>
        <c:lblOffset val="100"/>
        <c:noMultiLvlLbl val="0"/>
      </c:catAx>
      <c:valAx>
        <c:axId val="63378081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Rate per 1000 people in a given age bracket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37795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Status_age!$A$3</c:f>
              <c:strCache>
                <c:ptCount val="1"/>
                <c:pt idx="0">
                  <c:v>Concessional</c:v>
                </c:pt>
              </c:strCache>
            </c:strRef>
          </c:tx>
          <c:spPr>
            <a:solidFill>
              <a:srgbClr val="4472C4"/>
            </a:solidFill>
            <a:ln w="25400">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FD5-4F66-9697-72BCEA3F310E}"/>
                </c:ext>
              </c:extLst>
            </c:dLbl>
            <c:dLbl>
              <c:idx val="1"/>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FD5-4F66-9697-72BCEA3F310E}"/>
                </c:ext>
              </c:extLst>
            </c:dLbl>
            <c:dLbl>
              <c:idx val="2"/>
              <c:layout/>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FD5-4F66-9697-72BCEA3F310E}"/>
                </c:ext>
              </c:extLst>
            </c:dLbl>
            <c:dLbl>
              <c:idx val="3"/>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FD5-4F66-9697-72BCEA3F310E}"/>
                </c:ext>
              </c:extLst>
            </c:dLbl>
            <c:dLbl>
              <c:idx val="4"/>
              <c:layout/>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FD5-4F66-9697-72BCEA3F310E}"/>
                </c:ext>
              </c:extLst>
            </c:dLbl>
            <c:dLbl>
              <c:idx val="5"/>
              <c:layout/>
              <c:tx>
                <c:rich>
                  <a:bodyPr/>
                  <a:lstStyle/>
                  <a:p>
                    <a:r>
                      <a:rPr lang="en-US"/>
                      <a:t>82%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FD5-4F66-9697-72BCEA3F310E}"/>
                </c:ext>
              </c:extLst>
            </c:dLbl>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Status_age!$B$2:$G$2</c:f>
              <c:strCache>
                <c:ptCount val="6"/>
                <c:pt idx="0">
                  <c:v>&lt;18 </c:v>
                </c:pt>
                <c:pt idx="1">
                  <c:v>18-24</c:v>
                </c:pt>
                <c:pt idx="2">
                  <c:v>25-34</c:v>
                </c:pt>
                <c:pt idx="3">
                  <c:v>35-54</c:v>
                </c:pt>
                <c:pt idx="4">
                  <c:v>55-64</c:v>
                </c:pt>
                <c:pt idx="5">
                  <c:v>65+</c:v>
                </c:pt>
              </c:strCache>
            </c:strRef>
          </c:cat>
          <c:val>
            <c:numRef>
              <c:f>Status_age!$B$3:$G$3</c:f>
              <c:numCache>
                <c:formatCode>General</c:formatCode>
                <c:ptCount val="6"/>
                <c:pt idx="0">
                  <c:v>347</c:v>
                </c:pt>
                <c:pt idx="1">
                  <c:v>2861</c:v>
                </c:pt>
                <c:pt idx="2">
                  <c:v>5286</c:v>
                </c:pt>
                <c:pt idx="3">
                  <c:v>10753</c:v>
                </c:pt>
                <c:pt idx="4">
                  <c:v>4886</c:v>
                </c:pt>
                <c:pt idx="5">
                  <c:v>5784</c:v>
                </c:pt>
              </c:numCache>
            </c:numRef>
          </c:val>
          <c:extLst>
            <c:ext xmlns:c16="http://schemas.microsoft.com/office/drawing/2014/chart" uri="{C3380CC4-5D6E-409C-BE32-E72D297353CC}">
              <c16:uniqueId val="{00000006-BFD5-4F66-9697-72BCEA3F310E}"/>
            </c:ext>
          </c:extLst>
        </c:ser>
        <c:ser>
          <c:idx val="1"/>
          <c:order val="1"/>
          <c:tx>
            <c:strRef>
              <c:f>Status_age!$A$4</c:f>
              <c:strCache>
                <c:ptCount val="1"/>
                <c:pt idx="0">
                  <c:v>General</c:v>
                </c:pt>
              </c:strCache>
            </c:strRef>
          </c:tx>
          <c:spPr>
            <a:solidFill>
              <a:srgbClr val="ED7D31"/>
            </a:solidFill>
            <a:ln w="25400">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BFD5-4F66-9697-72BCEA3F310E}"/>
                </c:ext>
              </c:extLst>
            </c:dLbl>
            <c:dLbl>
              <c:idx val="1"/>
              <c:layout/>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FD5-4F66-9697-72BCEA3F310E}"/>
                </c:ext>
              </c:extLst>
            </c:dLbl>
            <c:dLbl>
              <c:idx val="2"/>
              <c:layout/>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FD5-4F66-9697-72BCEA3F310E}"/>
                </c:ext>
              </c:extLst>
            </c:dLbl>
            <c:dLbl>
              <c:idx val="3"/>
              <c:layout/>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FD5-4F66-9697-72BCEA3F310E}"/>
                </c:ext>
              </c:extLst>
            </c:dLbl>
            <c:dLbl>
              <c:idx val="4"/>
              <c:layout/>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FD5-4F66-9697-72BCEA3F310E}"/>
                </c:ext>
              </c:extLst>
            </c:dLbl>
            <c:dLbl>
              <c:idx val="5"/>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FD5-4F66-9697-72BCEA3F310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Status_age!$B$2:$G$2</c:f>
              <c:strCache>
                <c:ptCount val="6"/>
                <c:pt idx="0">
                  <c:v>&lt;18 </c:v>
                </c:pt>
                <c:pt idx="1">
                  <c:v>18-24</c:v>
                </c:pt>
                <c:pt idx="2">
                  <c:v>25-34</c:v>
                </c:pt>
                <c:pt idx="3">
                  <c:v>35-54</c:v>
                </c:pt>
                <c:pt idx="4">
                  <c:v>55-64</c:v>
                </c:pt>
                <c:pt idx="5">
                  <c:v>65+</c:v>
                </c:pt>
              </c:strCache>
            </c:strRef>
          </c:cat>
          <c:val>
            <c:numRef>
              <c:f>Status_age!$B$4:$G$4</c:f>
              <c:numCache>
                <c:formatCode>General</c:formatCode>
                <c:ptCount val="6"/>
                <c:pt idx="0">
                  <c:v>271</c:v>
                </c:pt>
                <c:pt idx="1">
                  <c:v>3952</c:v>
                </c:pt>
                <c:pt idx="2">
                  <c:v>8727</c:v>
                </c:pt>
                <c:pt idx="3">
                  <c:v>14724</c:v>
                </c:pt>
                <c:pt idx="4">
                  <c:v>5675</c:v>
                </c:pt>
                <c:pt idx="5">
                  <c:v>1277</c:v>
                </c:pt>
              </c:numCache>
            </c:numRef>
          </c:val>
          <c:extLst>
            <c:ext xmlns:c16="http://schemas.microsoft.com/office/drawing/2014/chart" uri="{C3380CC4-5D6E-409C-BE32-E72D297353CC}">
              <c16:uniqueId val="{0000000D-BFD5-4F66-9697-72BCEA3F310E}"/>
            </c:ext>
          </c:extLst>
        </c:ser>
        <c:dLbls>
          <c:showLegendKey val="0"/>
          <c:showVal val="0"/>
          <c:showCatName val="0"/>
          <c:showSerName val="0"/>
          <c:showPercent val="0"/>
          <c:showBubbleSize val="0"/>
        </c:dLbls>
        <c:gapWidth val="150"/>
        <c:overlap val="100"/>
        <c:axId val="620132832"/>
        <c:axId val="1"/>
      </c:barChart>
      <c:catAx>
        <c:axId val="62013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Numebr of people</a:t>
                </a:r>
              </a:p>
            </c:rich>
          </c:tx>
          <c:layout/>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132832"/>
        <c:crosses val="autoZero"/>
        <c:crossBetween val="between"/>
      </c:valAx>
      <c:spPr>
        <a:noFill/>
        <a:ln w="25400">
          <a:noFill/>
        </a:ln>
      </c:spPr>
    </c:plotArea>
    <c:legend>
      <c:legendPos val="b"/>
      <c:layout>
        <c:manualLayout>
          <c:xMode val="edge"/>
          <c:yMode val="edge"/>
          <c:x val="0.33958410529566158"/>
          <c:y val="0.89933026828022333"/>
          <c:w val="0.31875057897174625"/>
          <c:h val="7.3825503355704702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Scripts_Y!$B$1</c:f>
              <c:strCache>
                <c:ptCount val="1"/>
                <c:pt idx="0">
                  <c:v>Bupropion</c:v>
                </c:pt>
              </c:strCache>
            </c:strRef>
          </c:tx>
          <c:spPr>
            <a:solidFill>
              <a:schemeClr val="accent2"/>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Scripts_Y!$B$2:$B$11</c:f>
              <c:numCache>
                <c:formatCode>General</c:formatCode>
                <c:ptCount val="10"/>
                <c:pt idx="0">
                  <c:v>17576</c:v>
                </c:pt>
                <c:pt idx="1">
                  <c:v>15443</c:v>
                </c:pt>
                <c:pt idx="2">
                  <c:v>15483</c:v>
                </c:pt>
                <c:pt idx="3">
                  <c:v>15781</c:v>
                </c:pt>
                <c:pt idx="4">
                  <c:v>16054</c:v>
                </c:pt>
                <c:pt idx="5">
                  <c:v>17238</c:v>
                </c:pt>
                <c:pt idx="6">
                  <c:v>19609</c:v>
                </c:pt>
                <c:pt idx="7">
                  <c:v>21275</c:v>
                </c:pt>
                <c:pt idx="8">
                  <c:v>22336</c:v>
                </c:pt>
                <c:pt idx="9">
                  <c:v>5267</c:v>
                </c:pt>
              </c:numCache>
            </c:numRef>
          </c:val>
          <c:extLst>
            <c:ext xmlns:c16="http://schemas.microsoft.com/office/drawing/2014/chart" uri="{C3380CC4-5D6E-409C-BE32-E72D297353CC}">
              <c16:uniqueId val="{00000000-B74E-4555-9F5A-C6D5F0E75059}"/>
            </c:ext>
          </c:extLst>
        </c:ser>
        <c:ser>
          <c:idx val="2"/>
          <c:order val="1"/>
          <c:tx>
            <c:strRef>
              <c:f>Scripts_Y!$C$1</c:f>
              <c:strCache>
                <c:ptCount val="1"/>
                <c:pt idx="0">
                  <c:v>Nicotine</c:v>
                </c:pt>
              </c:strCache>
            </c:strRef>
          </c:tx>
          <c:spPr>
            <a:solidFill>
              <a:schemeClr val="accent3"/>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Scripts_Y!$C$2:$C$11</c:f>
              <c:numCache>
                <c:formatCode>General</c:formatCode>
                <c:ptCount val="10"/>
                <c:pt idx="0">
                  <c:v>145578</c:v>
                </c:pt>
                <c:pt idx="1">
                  <c:v>179991</c:v>
                </c:pt>
                <c:pt idx="2">
                  <c:v>135172</c:v>
                </c:pt>
                <c:pt idx="3">
                  <c:v>127592</c:v>
                </c:pt>
                <c:pt idx="4">
                  <c:v>140104</c:v>
                </c:pt>
                <c:pt idx="5">
                  <c:v>167537</c:v>
                </c:pt>
                <c:pt idx="6">
                  <c:v>189263</c:v>
                </c:pt>
                <c:pt idx="7">
                  <c:v>210615</c:v>
                </c:pt>
                <c:pt idx="8">
                  <c:v>224576</c:v>
                </c:pt>
                <c:pt idx="9">
                  <c:v>233544</c:v>
                </c:pt>
              </c:numCache>
            </c:numRef>
          </c:val>
          <c:extLst>
            <c:ext xmlns:c16="http://schemas.microsoft.com/office/drawing/2014/chart" uri="{C3380CC4-5D6E-409C-BE32-E72D297353CC}">
              <c16:uniqueId val="{00000001-B74E-4555-9F5A-C6D5F0E75059}"/>
            </c:ext>
          </c:extLst>
        </c:ser>
        <c:ser>
          <c:idx val="3"/>
          <c:order val="2"/>
          <c:tx>
            <c:strRef>
              <c:f>Scripts_Y!$D$1</c:f>
              <c:strCache>
                <c:ptCount val="1"/>
                <c:pt idx="0">
                  <c:v>Varenicline</c:v>
                </c:pt>
              </c:strCache>
            </c:strRef>
          </c:tx>
          <c:spPr>
            <a:solidFill>
              <a:schemeClr val="accent4"/>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Scripts_Y!$D$2:$D$11</c:f>
              <c:numCache>
                <c:formatCode>General</c:formatCode>
                <c:ptCount val="10"/>
                <c:pt idx="0">
                  <c:v>473928</c:v>
                </c:pt>
                <c:pt idx="1">
                  <c:v>368359</c:v>
                </c:pt>
                <c:pt idx="2">
                  <c:v>361999</c:v>
                </c:pt>
                <c:pt idx="3">
                  <c:v>333750</c:v>
                </c:pt>
                <c:pt idx="4">
                  <c:v>335594</c:v>
                </c:pt>
                <c:pt idx="5">
                  <c:v>304563</c:v>
                </c:pt>
                <c:pt idx="6">
                  <c:v>286910</c:v>
                </c:pt>
                <c:pt idx="7">
                  <c:v>306921</c:v>
                </c:pt>
                <c:pt idx="8">
                  <c:v>303191</c:v>
                </c:pt>
                <c:pt idx="9">
                  <c:v>303681</c:v>
                </c:pt>
              </c:numCache>
            </c:numRef>
          </c:val>
          <c:extLst>
            <c:ext xmlns:c16="http://schemas.microsoft.com/office/drawing/2014/chart" uri="{C3380CC4-5D6E-409C-BE32-E72D297353CC}">
              <c16:uniqueId val="{00000002-B74E-4555-9F5A-C6D5F0E75059}"/>
            </c:ext>
          </c:extLst>
        </c:ser>
        <c:dLbls>
          <c:showLegendKey val="0"/>
          <c:showVal val="0"/>
          <c:showCatName val="0"/>
          <c:showSerName val="0"/>
          <c:showPercent val="0"/>
          <c:showBubbleSize val="0"/>
        </c:dLbls>
        <c:gapWidth val="150"/>
        <c:overlap val="100"/>
        <c:axId val="750957896"/>
        <c:axId val="750958224"/>
      </c:barChart>
      <c:catAx>
        <c:axId val="75095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50958224"/>
        <c:crosses val="autoZero"/>
        <c:auto val="1"/>
        <c:lblAlgn val="ctr"/>
        <c:lblOffset val="100"/>
        <c:noMultiLvlLbl val="0"/>
      </c:catAx>
      <c:valAx>
        <c:axId val="750958224"/>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prescriptions</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509578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Inc_Prev_Financial!$H$1</c:f>
              <c:strCache>
                <c:ptCount val="1"/>
                <c:pt idx="0">
                  <c:v>Initiating (first ever)</c:v>
                </c:pt>
              </c:strCache>
            </c:strRef>
          </c:tx>
          <c:spPr>
            <a:ln w="28575" cap="rnd">
              <a:solidFill>
                <a:schemeClr val="accent1"/>
              </a:solidFill>
              <a:round/>
            </a:ln>
            <a:effectLst/>
          </c:spPr>
          <c:marker>
            <c:symbol val="none"/>
          </c:marker>
          <c:cat>
            <c:strRef>
              <c:f>Inc_Prev_Financial!$A$2:$A$11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Inc_Prev_Financial!$H$2:$H$11</c:f>
              <c:numCache>
                <c:formatCode>General</c:formatCode>
                <c:ptCount val="10"/>
                <c:pt idx="0">
                  <c:v>11.5</c:v>
                </c:pt>
                <c:pt idx="1">
                  <c:v>7.1</c:v>
                </c:pt>
                <c:pt idx="2">
                  <c:v>5.6</c:v>
                </c:pt>
                <c:pt idx="3">
                  <c:v>4.5</c:v>
                </c:pt>
                <c:pt idx="4">
                  <c:v>4</c:v>
                </c:pt>
                <c:pt idx="5">
                  <c:v>3.5</c:v>
                </c:pt>
                <c:pt idx="6">
                  <c:v>3.2</c:v>
                </c:pt>
                <c:pt idx="7">
                  <c:v>3.1</c:v>
                </c:pt>
                <c:pt idx="8">
                  <c:v>2.8</c:v>
                </c:pt>
                <c:pt idx="9">
                  <c:v>2.6</c:v>
                </c:pt>
              </c:numCache>
            </c:numRef>
          </c:val>
          <c:smooth val="0"/>
          <c:extLst>
            <c:ext xmlns:c16="http://schemas.microsoft.com/office/drawing/2014/chart" uri="{C3380CC4-5D6E-409C-BE32-E72D297353CC}">
              <c16:uniqueId val="{00000000-C77F-4A83-BA81-49C53C56BEBA}"/>
            </c:ext>
          </c:extLst>
        </c:ser>
        <c:ser>
          <c:idx val="1"/>
          <c:order val="1"/>
          <c:tx>
            <c:strRef>
              <c:f>Inc_Prev_Financial!$L$1</c:f>
              <c:strCache>
                <c:ptCount val="1"/>
                <c:pt idx="0">
                  <c:v>Initiating after one year of no use </c:v>
                </c:pt>
              </c:strCache>
            </c:strRef>
          </c:tx>
          <c:spPr>
            <a:ln w="28575" cap="rnd">
              <a:solidFill>
                <a:schemeClr val="accent2"/>
              </a:solidFill>
              <a:round/>
            </a:ln>
            <a:effectLst/>
          </c:spPr>
          <c:marker>
            <c:symbol val="none"/>
          </c:marker>
          <c:cat>
            <c:strRef>
              <c:f>Inc_Prev_Financial!$A$2:$A$11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Inc_Prev_Financial!$L$2:$L$11</c:f>
              <c:numCache>
                <c:formatCode>General</c:formatCode>
                <c:ptCount val="10"/>
                <c:pt idx="0">
                  <c:v>11.5</c:v>
                </c:pt>
                <c:pt idx="1">
                  <c:v>12.5</c:v>
                </c:pt>
                <c:pt idx="2">
                  <c:v>11.6</c:v>
                </c:pt>
                <c:pt idx="3">
                  <c:v>10.4</c:v>
                </c:pt>
                <c:pt idx="4">
                  <c:v>9.9</c:v>
                </c:pt>
                <c:pt idx="5">
                  <c:v>9</c:v>
                </c:pt>
                <c:pt idx="6">
                  <c:v>8.6</c:v>
                </c:pt>
                <c:pt idx="7">
                  <c:v>8.6</c:v>
                </c:pt>
                <c:pt idx="8">
                  <c:v>8</c:v>
                </c:pt>
                <c:pt idx="9">
                  <c:v>7.6</c:v>
                </c:pt>
              </c:numCache>
            </c:numRef>
          </c:val>
          <c:smooth val="0"/>
          <c:extLst>
            <c:ext xmlns:c16="http://schemas.microsoft.com/office/drawing/2014/chart" uri="{C3380CC4-5D6E-409C-BE32-E72D297353CC}">
              <c16:uniqueId val="{00000001-C77F-4A83-BA81-49C53C56BEBA}"/>
            </c:ext>
          </c:extLst>
        </c:ser>
        <c:ser>
          <c:idx val="2"/>
          <c:order val="2"/>
          <c:tx>
            <c:strRef>
              <c:f>Inc_Prev_Financial!$Q$1</c:f>
              <c:strCache>
                <c:ptCount val="1"/>
                <c:pt idx="0">
                  <c:v>Prevalent </c:v>
                </c:pt>
              </c:strCache>
            </c:strRef>
          </c:tx>
          <c:spPr>
            <a:ln w="28575" cap="rnd">
              <a:solidFill>
                <a:schemeClr val="tx1"/>
              </a:solidFill>
              <a:round/>
            </a:ln>
            <a:effectLst/>
          </c:spPr>
          <c:marker>
            <c:symbol val="none"/>
          </c:marker>
          <c:cat>
            <c:strRef>
              <c:f>Inc_Prev_Financial!$A$2:$A$11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Inc_Prev_Financial!$Q$2:$Q$11</c:f>
              <c:numCache>
                <c:formatCode>General</c:formatCode>
                <c:ptCount val="10"/>
                <c:pt idx="0">
                  <c:v>21.3</c:v>
                </c:pt>
                <c:pt idx="1">
                  <c:v>17.100000000000001</c:v>
                </c:pt>
                <c:pt idx="2">
                  <c:v>15.3</c:v>
                </c:pt>
                <c:pt idx="3">
                  <c:v>13.8</c:v>
                </c:pt>
                <c:pt idx="4">
                  <c:v>13.4</c:v>
                </c:pt>
                <c:pt idx="5">
                  <c:v>12.9</c:v>
                </c:pt>
                <c:pt idx="6">
                  <c:v>12.5</c:v>
                </c:pt>
                <c:pt idx="7">
                  <c:v>12.9</c:v>
                </c:pt>
                <c:pt idx="8">
                  <c:v>12.7</c:v>
                </c:pt>
                <c:pt idx="9">
                  <c:v>12.1</c:v>
                </c:pt>
              </c:numCache>
            </c:numRef>
          </c:val>
          <c:smooth val="0"/>
          <c:extLst>
            <c:ext xmlns:c16="http://schemas.microsoft.com/office/drawing/2014/chart" uri="{C3380CC4-5D6E-409C-BE32-E72D297353CC}">
              <c16:uniqueId val="{00000002-C77F-4A83-BA81-49C53C56BEBA}"/>
            </c:ext>
          </c:extLst>
        </c:ser>
        <c:dLbls>
          <c:showLegendKey val="0"/>
          <c:showVal val="0"/>
          <c:showCatName val="0"/>
          <c:showSerName val="0"/>
          <c:showPercent val="0"/>
          <c:showBubbleSize val="0"/>
        </c:dLbls>
        <c:smooth val="0"/>
        <c:axId val="624608336"/>
        <c:axId val="1"/>
      </c:lineChart>
      <c:catAx>
        <c:axId val="62460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a:lstStyle/>
              <a:p>
                <a:pPr>
                  <a:defRPr/>
                </a:pPr>
                <a:r>
                  <a:rPr lang="en-US"/>
                  <a:t>Population rate per 1000 people</a:t>
                </a:r>
              </a:p>
            </c:rich>
          </c:tx>
          <c:layout/>
          <c:overlay val="0"/>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608336"/>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59176256814052"/>
          <c:y val="0.10979664759075766"/>
          <c:w val="0.83392102474067697"/>
          <c:h val="0.57501579689656279"/>
        </c:manualLayout>
      </c:layout>
      <c:lineChart>
        <c:grouping val="standard"/>
        <c:varyColors val="0"/>
        <c:ser>
          <c:idx val="2"/>
          <c:order val="0"/>
          <c:tx>
            <c:strRef>
              <c:f>State_Financial!$M$2</c:f>
              <c:strCache>
                <c:ptCount val="1"/>
                <c:pt idx="0">
                  <c:v>ACT</c:v>
                </c:pt>
              </c:strCache>
            </c:strRef>
          </c:tx>
          <c:spPr>
            <a:ln w="28575" cap="rnd">
              <a:solidFill>
                <a:schemeClr val="accent3"/>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State_Financial!$M$3:$M$12</c:f>
              <c:numCache>
                <c:formatCode>General</c:formatCode>
                <c:ptCount val="10"/>
                <c:pt idx="0">
                  <c:v>20</c:v>
                </c:pt>
                <c:pt idx="1">
                  <c:v>14.5</c:v>
                </c:pt>
                <c:pt idx="2">
                  <c:v>15.7</c:v>
                </c:pt>
                <c:pt idx="3">
                  <c:v>11.9</c:v>
                </c:pt>
                <c:pt idx="4">
                  <c:v>13.5</c:v>
                </c:pt>
                <c:pt idx="5">
                  <c:v>11.4</c:v>
                </c:pt>
                <c:pt idx="6">
                  <c:v>12.5</c:v>
                </c:pt>
                <c:pt idx="7">
                  <c:v>11.1</c:v>
                </c:pt>
                <c:pt idx="8">
                  <c:v>11</c:v>
                </c:pt>
                <c:pt idx="9">
                  <c:v>10.8</c:v>
                </c:pt>
              </c:numCache>
            </c:numRef>
          </c:val>
          <c:smooth val="0"/>
          <c:extLst>
            <c:ext xmlns:c16="http://schemas.microsoft.com/office/drawing/2014/chart" uri="{C3380CC4-5D6E-409C-BE32-E72D297353CC}">
              <c16:uniqueId val="{00000000-20EF-4726-9675-5E935E6E03F6}"/>
            </c:ext>
          </c:extLst>
        </c:ser>
        <c:ser>
          <c:idx val="3"/>
          <c:order val="1"/>
          <c:tx>
            <c:strRef>
              <c:f>State_Financial!$N$2</c:f>
              <c:strCache>
                <c:ptCount val="1"/>
                <c:pt idx="0">
                  <c:v>NSW</c:v>
                </c:pt>
              </c:strCache>
            </c:strRef>
          </c:tx>
          <c:spPr>
            <a:ln w="28575" cap="rnd">
              <a:solidFill>
                <a:schemeClr val="accent4"/>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State_Financial!$N$3:$N$12</c:f>
              <c:numCache>
                <c:formatCode>General</c:formatCode>
                <c:ptCount val="10"/>
                <c:pt idx="0">
                  <c:v>20.3</c:v>
                </c:pt>
                <c:pt idx="1">
                  <c:v>17.7</c:v>
                </c:pt>
                <c:pt idx="2">
                  <c:v>15.5</c:v>
                </c:pt>
                <c:pt idx="3">
                  <c:v>14.1</c:v>
                </c:pt>
                <c:pt idx="4">
                  <c:v>13.8</c:v>
                </c:pt>
                <c:pt idx="5">
                  <c:v>13.6</c:v>
                </c:pt>
                <c:pt idx="6">
                  <c:v>13.4</c:v>
                </c:pt>
                <c:pt idx="7">
                  <c:v>13.9</c:v>
                </c:pt>
                <c:pt idx="8">
                  <c:v>13.4</c:v>
                </c:pt>
                <c:pt idx="9">
                  <c:v>12.7</c:v>
                </c:pt>
              </c:numCache>
            </c:numRef>
          </c:val>
          <c:smooth val="0"/>
          <c:extLst>
            <c:ext xmlns:c16="http://schemas.microsoft.com/office/drawing/2014/chart" uri="{C3380CC4-5D6E-409C-BE32-E72D297353CC}">
              <c16:uniqueId val="{00000001-20EF-4726-9675-5E935E6E03F6}"/>
            </c:ext>
          </c:extLst>
        </c:ser>
        <c:ser>
          <c:idx val="4"/>
          <c:order val="2"/>
          <c:tx>
            <c:strRef>
              <c:f>State_Financial!$O$2</c:f>
              <c:strCache>
                <c:ptCount val="1"/>
                <c:pt idx="0">
                  <c:v>NT</c:v>
                </c:pt>
              </c:strCache>
            </c:strRef>
          </c:tx>
          <c:spPr>
            <a:ln w="28575" cap="rnd">
              <a:solidFill>
                <a:schemeClr val="accent5"/>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State_Financial!$O$3:$O$12</c:f>
              <c:numCache>
                <c:formatCode>General</c:formatCode>
                <c:ptCount val="10"/>
                <c:pt idx="0">
                  <c:v>21.2</c:v>
                </c:pt>
                <c:pt idx="1">
                  <c:v>18.399999999999999</c:v>
                </c:pt>
                <c:pt idx="2">
                  <c:v>17.399999999999999</c:v>
                </c:pt>
                <c:pt idx="3">
                  <c:v>15.4</c:v>
                </c:pt>
                <c:pt idx="4">
                  <c:v>16.3</c:v>
                </c:pt>
                <c:pt idx="5">
                  <c:v>12.7</c:v>
                </c:pt>
                <c:pt idx="6">
                  <c:v>11.4</c:v>
                </c:pt>
                <c:pt idx="7">
                  <c:v>12.2</c:v>
                </c:pt>
                <c:pt idx="8">
                  <c:v>13.5</c:v>
                </c:pt>
                <c:pt idx="9">
                  <c:v>13.2</c:v>
                </c:pt>
              </c:numCache>
            </c:numRef>
          </c:val>
          <c:smooth val="0"/>
          <c:extLst>
            <c:ext xmlns:c16="http://schemas.microsoft.com/office/drawing/2014/chart" uri="{C3380CC4-5D6E-409C-BE32-E72D297353CC}">
              <c16:uniqueId val="{00000002-20EF-4726-9675-5E935E6E03F6}"/>
            </c:ext>
          </c:extLst>
        </c:ser>
        <c:ser>
          <c:idx val="5"/>
          <c:order val="3"/>
          <c:tx>
            <c:strRef>
              <c:f>State_Financial!$P$2</c:f>
              <c:strCache>
                <c:ptCount val="1"/>
                <c:pt idx="0">
                  <c:v>QLD</c:v>
                </c:pt>
              </c:strCache>
            </c:strRef>
          </c:tx>
          <c:spPr>
            <a:ln w="28575" cap="rnd">
              <a:solidFill>
                <a:schemeClr val="accent6"/>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State_Financial!$P$3:$P$12</c:f>
              <c:numCache>
                <c:formatCode>General</c:formatCode>
                <c:ptCount val="10"/>
                <c:pt idx="0">
                  <c:v>26.1</c:v>
                </c:pt>
                <c:pt idx="1">
                  <c:v>22.9</c:v>
                </c:pt>
                <c:pt idx="2">
                  <c:v>21.2</c:v>
                </c:pt>
                <c:pt idx="3">
                  <c:v>19.399999999999999</c:v>
                </c:pt>
                <c:pt idx="4">
                  <c:v>19.2</c:v>
                </c:pt>
                <c:pt idx="5">
                  <c:v>18.399999999999999</c:v>
                </c:pt>
                <c:pt idx="6">
                  <c:v>18.100000000000001</c:v>
                </c:pt>
                <c:pt idx="7">
                  <c:v>18.3</c:v>
                </c:pt>
                <c:pt idx="8">
                  <c:v>17.899999999999999</c:v>
                </c:pt>
                <c:pt idx="9">
                  <c:v>16.899999999999999</c:v>
                </c:pt>
              </c:numCache>
            </c:numRef>
          </c:val>
          <c:smooth val="0"/>
          <c:extLst>
            <c:ext xmlns:c16="http://schemas.microsoft.com/office/drawing/2014/chart" uri="{C3380CC4-5D6E-409C-BE32-E72D297353CC}">
              <c16:uniqueId val="{00000003-20EF-4726-9675-5E935E6E03F6}"/>
            </c:ext>
          </c:extLst>
        </c:ser>
        <c:ser>
          <c:idx val="6"/>
          <c:order val="4"/>
          <c:tx>
            <c:strRef>
              <c:f>State_Financial!$Q$2</c:f>
              <c:strCache>
                <c:ptCount val="1"/>
                <c:pt idx="0">
                  <c:v>SA</c:v>
                </c:pt>
              </c:strCache>
            </c:strRef>
          </c:tx>
          <c:spPr>
            <a:ln w="28575" cap="rnd">
              <a:solidFill>
                <a:schemeClr val="accent1">
                  <a:lumMod val="60000"/>
                </a:schemeClr>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State_Financial!$Q$3:$Q$12</c:f>
              <c:numCache>
                <c:formatCode>General</c:formatCode>
                <c:ptCount val="10"/>
                <c:pt idx="0">
                  <c:v>25.3</c:v>
                </c:pt>
                <c:pt idx="1">
                  <c:v>21.3</c:v>
                </c:pt>
                <c:pt idx="2">
                  <c:v>18.600000000000001</c:v>
                </c:pt>
                <c:pt idx="3">
                  <c:v>15</c:v>
                </c:pt>
                <c:pt idx="4">
                  <c:v>17.2</c:v>
                </c:pt>
                <c:pt idx="5">
                  <c:v>15.5</c:v>
                </c:pt>
                <c:pt idx="6">
                  <c:v>14.6</c:v>
                </c:pt>
                <c:pt idx="7">
                  <c:v>14.4</c:v>
                </c:pt>
                <c:pt idx="8">
                  <c:v>14.4</c:v>
                </c:pt>
                <c:pt idx="9">
                  <c:v>15.3</c:v>
                </c:pt>
              </c:numCache>
            </c:numRef>
          </c:val>
          <c:smooth val="0"/>
          <c:extLst>
            <c:ext xmlns:c16="http://schemas.microsoft.com/office/drawing/2014/chart" uri="{C3380CC4-5D6E-409C-BE32-E72D297353CC}">
              <c16:uniqueId val="{00000004-20EF-4726-9675-5E935E6E03F6}"/>
            </c:ext>
          </c:extLst>
        </c:ser>
        <c:ser>
          <c:idx val="7"/>
          <c:order val="5"/>
          <c:tx>
            <c:strRef>
              <c:f>State_Financial!$R$2</c:f>
              <c:strCache>
                <c:ptCount val="1"/>
                <c:pt idx="0">
                  <c:v>TAS</c:v>
                </c:pt>
              </c:strCache>
            </c:strRef>
          </c:tx>
          <c:spPr>
            <a:ln w="28575" cap="rnd">
              <a:solidFill>
                <a:schemeClr val="tx1"/>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State_Financial!$R$3:$R$12</c:f>
              <c:numCache>
                <c:formatCode>General</c:formatCode>
                <c:ptCount val="10"/>
                <c:pt idx="0">
                  <c:v>29.5</c:v>
                </c:pt>
                <c:pt idx="1">
                  <c:v>24.5</c:v>
                </c:pt>
                <c:pt idx="2">
                  <c:v>23.4</c:v>
                </c:pt>
                <c:pt idx="3">
                  <c:v>20.8</c:v>
                </c:pt>
                <c:pt idx="4">
                  <c:v>25.4</c:v>
                </c:pt>
                <c:pt idx="5">
                  <c:v>21.8</c:v>
                </c:pt>
                <c:pt idx="6">
                  <c:v>20.399999999999999</c:v>
                </c:pt>
                <c:pt idx="7">
                  <c:v>22.2</c:v>
                </c:pt>
                <c:pt idx="8">
                  <c:v>23.8</c:v>
                </c:pt>
                <c:pt idx="9">
                  <c:v>23.6</c:v>
                </c:pt>
              </c:numCache>
            </c:numRef>
          </c:val>
          <c:smooth val="0"/>
          <c:extLst>
            <c:ext xmlns:c16="http://schemas.microsoft.com/office/drawing/2014/chart" uri="{C3380CC4-5D6E-409C-BE32-E72D297353CC}">
              <c16:uniqueId val="{00000005-20EF-4726-9675-5E935E6E03F6}"/>
            </c:ext>
          </c:extLst>
        </c:ser>
        <c:ser>
          <c:idx val="8"/>
          <c:order val="6"/>
          <c:tx>
            <c:strRef>
              <c:f>State_Financial!$S$2</c:f>
              <c:strCache>
                <c:ptCount val="1"/>
                <c:pt idx="0">
                  <c:v>VIC</c:v>
                </c:pt>
              </c:strCache>
            </c:strRef>
          </c:tx>
          <c:spPr>
            <a:ln w="28575" cap="rnd">
              <a:solidFill>
                <a:schemeClr val="accent3">
                  <a:lumMod val="60000"/>
                </a:schemeClr>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State_Financial!$S$3:$S$12</c:f>
              <c:numCache>
                <c:formatCode>General</c:formatCode>
                <c:ptCount val="10"/>
                <c:pt idx="0">
                  <c:v>19.399999999999999</c:v>
                </c:pt>
                <c:pt idx="1">
                  <c:v>16.3</c:v>
                </c:pt>
                <c:pt idx="2">
                  <c:v>14.5</c:v>
                </c:pt>
                <c:pt idx="3">
                  <c:v>12.9</c:v>
                </c:pt>
                <c:pt idx="4">
                  <c:v>12.5</c:v>
                </c:pt>
                <c:pt idx="5">
                  <c:v>11.7</c:v>
                </c:pt>
                <c:pt idx="6">
                  <c:v>11.2</c:v>
                </c:pt>
                <c:pt idx="7">
                  <c:v>11.7</c:v>
                </c:pt>
                <c:pt idx="8">
                  <c:v>11.7</c:v>
                </c:pt>
                <c:pt idx="9">
                  <c:v>10.7</c:v>
                </c:pt>
              </c:numCache>
            </c:numRef>
          </c:val>
          <c:smooth val="0"/>
          <c:extLst>
            <c:ext xmlns:c16="http://schemas.microsoft.com/office/drawing/2014/chart" uri="{C3380CC4-5D6E-409C-BE32-E72D297353CC}">
              <c16:uniqueId val="{00000006-20EF-4726-9675-5E935E6E03F6}"/>
            </c:ext>
          </c:extLst>
        </c:ser>
        <c:ser>
          <c:idx val="0"/>
          <c:order val="7"/>
          <c:tx>
            <c:strRef>
              <c:f>State_Financial!$T$2</c:f>
              <c:strCache>
                <c:ptCount val="1"/>
                <c:pt idx="0">
                  <c:v>WA</c:v>
                </c:pt>
              </c:strCache>
            </c:strRef>
          </c:tx>
          <c:spPr>
            <a:ln w="28575" cap="rnd">
              <a:solidFill>
                <a:schemeClr val="accent1"/>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State_Financial!$T$3:$T$12</c:f>
              <c:numCache>
                <c:formatCode>General</c:formatCode>
                <c:ptCount val="10"/>
                <c:pt idx="0">
                  <c:v>20.7</c:v>
                </c:pt>
                <c:pt idx="1">
                  <c:v>17.100000000000001</c:v>
                </c:pt>
                <c:pt idx="2">
                  <c:v>15.5</c:v>
                </c:pt>
                <c:pt idx="3">
                  <c:v>14.1</c:v>
                </c:pt>
                <c:pt idx="4">
                  <c:v>13.5</c:v>
                </c:pt>
                <c:pt idx="5">
                  <c:v>12.8</c:v>
                </c:pt>
                <c:pt idx="6">
                  <c:v>12.7</c:v>
                </c:pt>
                <c:pt idx="7">
                  <c:v>13.8</c:v>
                </c:pt>
                <c:pt idx="8">
                  <c:v>13.9</c:v>
                </c:pt>
                <c:pt idx="9">
                  <c:v>14</c:v>
                </c:pt>
              </c:numCache>
            </c:numRef>
          </c:val>
          <c:smooth val="0"/>
          <c:extLst>
            <c:ext xmlns:c16="http://schemas.microsoft.com/office/drawing/2014/chart" uri="{C3380CC4-5D6E-409C-BE32-E72D297353CC}">
              <c16:uniqueId val="{00000007-20EF-4726-9675-5E935E6E03F6}"/>
            </c:ext>
          </c:extLst>
        </c:ser>
        <c:dLbls>
          <c:showLegendKey val="0"/>
          <c:showVal val="0"/>
          <c:showCatName val="0"/>
          <c:showSerName val="0"/>
          <c:showPercent val="0"/>
          <c:showBubbleSize val="0"/>
        </c:dLbls>
        <c:smooth val="0"/>
        <c:axId val="640252120"/>
        <c:axId val="1"/>
      </c:lineChart>
      <c:catAx>
        <c:axId val="64025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Rate per 1000 people</a:t>
                </a:r>
              </a:p>
            </c:rich>
          </c:tx>
          <c:layout/>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640252120"/>
        <c:crosses val="autoZero"/>
        <c:crossBetween val="between"/>
      </c:valAx>
      <c:spPr>
        <a:noFill/>
        <a:ln w="25400">
          <a:noFill/>
        </a:ln>
      </c:spPr>
    </c:plotArea>
    <c:legend>
      <c:legendPos val="r"/>
      <c:layout>
        <c:manualLayout>
          <c:xMode val="edge"/>
          <c:yMode val="edge"/>
          <c:x val="5.585595413843282E-2"/>
          <c:y val="0.8860773185282933"/>
          <c:w val="0.89910068113154762"/>
          <c:h val="7.9114046297169047E-2"/>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9.484209681721481E-2"/>
          <c:w val="0.79132152230971131"/>
          <c:h val="0.53697738314625565"/>
        </c:manualLayout>
      </c:layout>
      <c:lineChart>
        <c:grouping val="standard"/>
        <c:varyColors val="0"/>
        <c:ser>
          <c:idx val="2"/>
          <c:order val="0"/>
          <c:tx>
            <c:strRef>
              <c:f>State_Financial!$B$2</c:f>
              <c:strCache>
                <c:ptCount val="1"/>
                <c:pt idx="0">
                  <c:v>ACT</c:v>
                </c:pt>
              </c:strCache>
            </c:strRef>
          </c:tx>
          <c:spPr>
            <a:ln w="28575" cap="rnd">
              <a:solidFill>
                <a:schemeClr val="accent3"/>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State_Financial!$B$3:$B$12</c:f>
              <c:numCache>
                <c:formatCode>General</c:formatCode>
                <c:ptCount val="10"/>
                <c:pt idx="0">
                  <c:v>10.7</c:v>
                </c:pt>
                <c:pt idx="1">
                  <c:v>5.6</c:v>
                </c:pt>
                <c:pt idx="2">
                  <c:v>5.6</c:v>
                </c:pt>
                <c:pt idx="3">
                  <c:v>3.5</c:v>
                </c:pt>
                <c:pt idx="4">
                  <c:v>3.6</c:v>
                </c:pt>
                <c:pt idx="5">
                  <c:v>2.8</c:v>
                </c:pt>
                <c:pt idx="6">
                  <c:v>3</c:v>
                </c:pt>
                <c:pt idx="7">
                  <c:v>2.4</c:v>
                </c:pt>
                <c:pt idx="8">
                  <c:v>2.2000000000000002</c:v>
                </c:pt>
                <c:pt idx="9">
                  <c:v>2.1</c:v>
                </c:pt>
              </c:numCache>
            </c:numRef>
          </c:val>
          <c:smooth val="0"/>
          <c:extLst>
            <c:ext xmlns:c16="http://schemas.microsoft.com/office/drawing/2014/chart" uri="{C3380CC4-5D6E-409C-BE32-E72D297353CC}">
              <c16:uniqueId val="{00000000-5AB9-4FC5-ADC5-3ABB19C406F8}"/>
            </c:ext>
          </c:extLst>
        </c:ser>
        <c:ser>
          <c:idx val="3"/>
          <c:order val="1"/>
          <c:tx>
            <c:strRef>
              <c:f>State_Financial!$C$2</c:f>
              <c:strCache>
                <c:ptCount val="1"/>
                <c:pt idx="0">
                  <c:v>NSW</c:v>
                </c:pt>
              </c:strCache>
            </c:strRef>
          </c:tx>
          <c:spPr>
            <a:ln w="28575" cap="rnd">
              <a:solidFill>
                <a:schemeClr val="accent4"/>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State_Financial!$C$3:$C$12</c:f>
              <c:numCache>
                <c:formatCode>General</c:formatCode>
                <c:ptCount val="10"/>
                <c:pt idx="0">
                  <c:v>10.7</c:v>
                </c:pt>
                <c:pt idx="1">
                  <c:v>6.8</c:v>
                </c:pt>
                <c:pt idx="2">
                  <c:v>5.2</c:v>
                </c:pt>
                <c:pt idx="3">
                  <c:v>4.2</c:v>
                </c:pt>
                <c:pt idx="4">
                  <c:v>3.7</c:v>
                </c:pt>
                <c:pt idx="5">
                  <c:v>3.3</c:v>
                </c:pt>
                <c:pt idx="6">
                  <c:v>3.2</c:v>
                </c:pt>
                <c:pt idx="7">
                  <c:v>3</c:v>
                </c:pt>
                <c:pt idx="8">
                  <c:v>2.7</c:v>
                </c:pt>
                <c:pt idx="9">
                  <c:v>2.4</c:v>
                </c:pt>
              </c:numCache>
            </c:numRef>
          </c:val>
          <c:smooth val="0"/>
          <c:extLst>
            <c:ext xmlns:c16="http://schemas.microsoft.com/office/drawing/2014/chart" uri="{C3380CC4-5D6E-409C-BE32-E72D297353CC}">
              <c16:uniqueId val="{00000001-5AB9-4FC5-ADC5-3ABB19C406F8}"/>
            </c:ext>
          </c:extLst>
        </c:ser>
        <c:ser>
          <c:idx val="4"/>
          <c:order val="2"/>
          <c:tx>
            <c:strRef>
              <c:f>State_Financial!$D$2</c:f>
              <c:strCache>
                <c:ptCount val="1"/>
                <c:pt idx="0">
                  <c:v>NT</c:v>
                </c:pt>
              </c:strCache>
            </c:strRef>
          </c:tx>
          <c:spPr>
            <a:ln w="28575" cap="rnd">
              <a:solidFill>
                <a:schemeClr val="accent5"/>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State_Financial!$D$3:$D$12</c:f>
              <c:numCache>
                <c:formatCode>General</c:formatCode>
                <c:ptCount val="10"/>
                <c:pt idx="0">
                  <c:v>11.6</c:v>
                </c:pt>
                <c:pt idx="1">
                  <c:v>8.1999999999999993</c:v>
                </c:pt>
                <c:pt idx="2">
                  <c:v>6.5</c:v>
                </c:pt>
                <c:pt idx="3">
                  <c:v>5</c:v>
                </c:pt>
                <c:pt idx="4">
                  <c:v>5</c:v>
                </c:pt>
                <c:pt idx="5">
                  <c:v>3.6</c:v>
                </c:pt>
                <c:pt idx="6">
                  <c:v>2.7</c:v>
                </c:pt>
                <c:pt idx="7">
                  <c:v>3</c:v>
                </c:pt>
                <c:pt idx="8">
                  <c:v>3.6</c:v>
                </c:pt>
                <c:pt idx="9">
                  <c:v>3.1</c:v>
                </c:pt>
              </c:numCache>
            </c:numRef>
          </c:val>
          <c:smooth val="0"/>
          <c:extLst>
            <c:ext xmlns:c16="http://schemas.microsoft.com/office/drawing/2014/chart" uri="{C3380CC4-5D6E-409C-BE32-E72D297353CC}">
              <c16:uniqueId val="{00000002-5AB9-4FC5-ADC5-3ABB19C406F8}"/>
            </c:ext>
          </c:extLst>
        </c:ser>
        <c:ser>
          <c:idx val="5"/>
          <c:order val="3"/>
          <c:tx>
            <c:strRef>
              <c:f>State_Financial!$E$2</c:f>
              <c:strCache>
                <c:ptCount val="1"/>
                <c:pt idx="0">
                  <c:v>QLD</c:v>
                </c:pt>
              </c:strCache>
            </c:strRef>
          </c:tx>
          <c:spPr>
            <a:ln w="28575" cap="rnd">
              <a:solidFill>
                <a:schemeClr val="accent6"/>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State_Financial!$E$3:$E$12</c:f>
              <c:numCache>
                <c:formatCode>General</c:formatCode>
                <c:ptCount val="10"/>
                <c:pt idx="0">
                  <c:v>13.2</c:v>
                </c:pt>
                <c:pt idx="1">
                  <c:v>8.4</c:v>
                </c:pt>
                <c:pt idx="2">
                  <c:v>6.7</c:v>
                </c:pt>
                <c:pt idx="3">
                  <c:v>5.5</c:v>
                </c:pt>
                <c:pt idx="4">
                  <c:v>4.9000000000000004</c:v>
                </c:pt>
                <c:pt idx="5">
                  <c:v>4.3</c:v>
                </c:pt>
                <c:pt idx="6">
                  <c:v>4</c:v>
                </c:pt>
                <c:pt idx="7">
                  <c:v>3.7</c:v>
                </c:pt>
                <c:pt idx="8">
                  <c:v>3.4</c:v>
                </c:pt>
                <c:pt idx="9">
                  <c:v>3</c:v>
                </c:pt>
              </c:numCache>
            </c:numRef>
          </c:val>
          <c:smooth val="0"/>
          <c:extLst>
            <c:ext xmlns:c16="http://schemas.microsoft.com/office/drawing/2014/chart" uri="{C3380CC4-5D6E-409C-BE32-E72D297353CC}">
              <c16:uniqueId val="{00000003-5AB9-4FC5-ADC5-3ABB19C406F8}"/>
            </c:ext>
          </c:extLst>
        </c:ser>
        <c:ser>
          <c:idx val="6"/>
          <c:order val="4"/>
          <c:tx>
            <c:strRef>
              <c:f>State_Financial!$F$2</c:f>
              <c:strCache>
                <c:ptCount val="1"/>
                <c:pt idx="0">
                  <c:v>SA</c:v>
                </c:pt>
              </c:strCache>
            </c:strRef>
          </c:tx>
          <c:spPr>
            <a:ln w="28575" cap="rnd">
              <a:solidFill>
                <a:schemeClr val="accent1">
                  <a:lumMod val="60000"/>
                </a:schemeClr>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State_Financial!$F$3:$F$12</c:f>
              <c:numCache>
                <c:formatCode>General</c:formatCode>
                <c:ptCount val="10"/>
                <c:pt idx="0">
                  <c:v>14</c:v>
                </c:pt>
                <c:pt idx="1">
                  <c:v>8.1999999999999993</c:v>
                </c:pt>
                <c:pt idx="2">
                  <c:v>6</c:v>
                </c:pt>
                <c:pt idx="3">
                  <c:v>4.4000000000000004</c:v>
                </c:pt>
                <c:pt idx="4">
                  <c:v>4.4000000000000004</c:v>
                </c:pt>
                <c:pt idx="5">
                  <c:v>3.6</c:v>
                </c:pt>
                <c:pt idx="6">
                  <c:v>3.2</c:v>
                </c:pt>
                <c:pt idx="7">
                  <c:v>3</c:v>
                </c:pt>
                <c:pt idx="8">
                  <c:v>2.7</c:v>
                </c:pt>
                <c:pt idx="9">
                  <c:v>2.8</c:v>
                </c:pt>
              </c:numCache>
            </c:numRef>
          </c:val>
          <c:smooth val="0"/>
          <c:extLst>
            <c:ext xmlns:c16="http://schemas.microsoft.com/office/drawing/2014/chart" uri="{C3380CC4-5D6E-409C-BE32-E72D297353CC}">
              <c16:uniqueId val="{00000004-5AB9-4FC5-ADC5-3ABB19C406F8}"/>
            </c:ext>
          </c:extLst>
        </c:ser>
        <c:ser>
          <c:idx val="7"/>
          <c:order val="5"/>
          <c:tx>
            <c:strRef>
              <c:f>State_Financial!$G$2</c:f>
              <c:strCache>
                <c:ptCount val="1"/>
                <c:pt idx="0">
                  <c:v>TAS</c:v>
                </c:pt>
              </c:strCache>
            </c:strRef>
          </c:tx>
          <c:spPr>
            <a:ln w="28575" cap="rnd">
              <a:solidFill>
                <a:schemeClr val="tx1"/>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State_Financial!$G$3:$G$12</c:f>
              <c:numCache>
                <c:formatCode>General</c:formatCode>
                <c:ptCount val="10"/>
                <c:pt idx="0">
                  <c:v>15.1</c:v>
                </c:pt>
                <c:pt idx="1">
                  <c:v>9.1999999999999993</c:v>
                </c:pt>
                <c:pt idx="2">
                  <c:v>7.7</c:v>
                </c:pt>
                <c:pt idx="3">
                  <c:v>6.4</c:v>
                </c:pt>
                <c:pt idx="4">
                  <c:v>7.1</c:v>
                </c:pt>
                <c:pt idx="5">
                  <c:v>5.4</c:v>
                </c:pt>
                <c:pt idx="6">
                  <c:v>4.5999999999999996</c:v>
                </c:pt>
                <c:pt idx="7">
                  <c:v>5</c:v>
                </c:pt>
                <c:pt idx="8">
                  <c:v>4.5999999999999996</c:v>
                </c:pt>
                <c:pt idx="9">
                  <c:v>4.7</c:v>
                </c:pt>
              </c:numCache>
            </c:numRef>
          </c:val>
          <c:smooth val="0"/>
          <c:extLst>
            <c:ext xmlns:c16="http://schemas.microsoft.com/office/drawing/2014/chart" uri="{C3380CC4-5D6E-409C-BE32-E72D297353CC}">
              <c16:uniqueId val="{00000005-5AB9-4FC5-ADC5-3ABB19C406F8}"/>
            </c:ext>
          </c:extLst>
        </c:ser>
        <c:ser>
          <c:idx val="8"/>
          <c:order val="6"/>
          <c:tx>
            <c:strRef>
              <c:f>State_Financial!$H$2</c:f>
              <c:strCache>
                <c:ptCount val="1"/>
                <c:pt idx="0">
                  <c:v>VIC</c:v>
                </c:pt>
              </c:strCache>
            </c:strRef>
          </c:tx>
          <c:spPr>
            <a:ln w="28575" cap="rnd">
              <a:solidFill>
                <a:schemeClr val="accent3">
                  <a:lumMod val="60000"/>
                </a:schemeClr>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State_Financial!$H$3:$H$12</c:f>
              <c:numCache>
                <c:formatCode>General</c:formatCode>
                <c:ptCount val="10"/>
                <c:pt idx="0">
                  <c:v>10.7</c:v>
                </c:pt>
                <c:pt idx="1">
                  <c:v>6.7</c:v>
                </c:pt>
                <c:pt idx="2">
                  <c:v>5.0999999999999996</c:v>
                </c:pt>
                <c:pt idx="3">
                  <c:v>4.0999999999999996</c:v>
                </c:pt>
                <c:pt idx="4">
                  <c:v>3.6</c:v>
                </c:pt>
                <c:pt idx="5">
                  <c:v>3</c:v>
                </c:pt>
                <c:pt idx="6">
                  <c:v>2.8</c:v>
                </c:pt>
                <c:pt idx="7">
                  <c:v>2.8</c:v>
                </c:pt>
                <c:pt idx="8">
                  <c:v>2.5</c:v>
                </c:pt>
                <c:pt idx="9">
                  <c:v>2.2000000000000002</c:v>
                </c:pt>
              </c:numCache>
            </c:numRef>
          </c:val>
          <c:smooth val="0"/>
          <c:extLst>
            <c:ext xmlns:c16="http://schemas.microsoft.com/office/drawing/2014/chart" uri="{C3380CC4-5D6E-409C-BE32-E72D297353CC}">
              <c16:uniqueId val="{00000006-5AB9-4FC5-ADC5-3ABB19C406F8}"/>
            </c:ext>
          </c:extLst>
        </c:ser>
        <c:ser>
          <c:idx val="0"/>
          <c:order val="7"/>
          <c:tx>
            <c:strRef>
              <c:f>State_Financial!$I$2</c:f>
              <c:strCache>
                <c:ptCount val="1"/>
                <c:pt idx="0">
                  <c:v>WA</c:v>
                </c:pt>
              </c:strCache>
            </c:strRef>
          </c:tx>
          <c:spPr>
            <a:ln w="28575" cap="rnd">
              <a:solidFill>
                <a:schemeClr val="accent1"/>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State_Financial!$I$3:$I$12</c:f>
              <c:numCache>
                <c:formatCode>General</c:formatCode>
                <c:ptCount val="10"/>
                <c:pt idx="0">
                  <c:v>10.8</c:v>
                </c:pt>
                <c:pt idx="1">
                  <c:v>6.6</c:v>
                </c:pt>
                <c:pt idx="2">
                  <c:v>5.4</c:v>
                </c:pt>
                <c:pt idx="3">
                  <c:v>4.5</c:v>
                </c:pt>
                <c:pt idx="4">
                  <c:v>3.8</c:v>
                </c:pt>
                <c:pt idx="5">
                  <c:v>3.3</c:v>
                </c:pt>
                <c:pt idx="6">
                  <c:v>3.1</c:v>
                </c:pt>
                <c:pt idx="7">
                  <c:v>3.2</c:v>
                </c:pt>
                <c:pt idx="8">
                  <c:v>3</c:v>
                </c:pt>
                <c:pt idx="9">
                  <c:v>2.9</c:v>
                </c:pt>
              </c:numCache>
            </c:numRef>
          </c:val>
          <c:smooth val="0"/>
          <c:extLst>
            <c:ext xmlns:c16="http://schemas.microsoft.com/office/drawing/2014/chart" uri="{C3380CC4-5D6E-409C-BE32-E72D297353CC}">
              <c16:uniqueId val="{00000007-5AB9-4FC5-ADC5-3ABB19C406F8}"/>
            </c:ext>
          </c:extLst>
        </c:ser>
        <c:dLbls>
          <c:showLegendKey val="0"/>
          <c:showVal val="0"/>
          <c:showCatName val="0"/>
          <c:showSerName val="0"/>
          <c:showPercent val="0"/>
          <c:showBubbleSize val="0"/>
        </c:dLbls>
        <c:smooth val="0"/>
        <c:axId val="640059368"/>
        <c:axId val="1"/>
      </c:lineChart>
      <c:catAx>
        <c:axId val="640059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Rate per 1000 people</a:t>
                </a:r>
              </a:p>
            </c:rich>
          </c:tx>
          <c:layout/>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640059368"/>
        <c:crosses val="autoZero"/>
        <c:crossBetween val="between"/>
      </c:valAx>
      <c:spPr>
        <a:noFill/>
        <a:ln w="25400">
          <a:noFill/>
        </a:ln>
      </c:spPr>
    </c:plotArea>
    <c:legend>
      <c:legendPos val="r"/>
      <c:layout>
        <c:manualLayout>
          <c:xMode val="edge"/>
          <c:yMode val="edge"/>
          <c:x val="2.7083388434628163E-2"/>
          <c:y val="0.81597498906449739"/>
          <c:w val="0.93541856978061888"/>
          <c:h val="0.15277829582484206"/>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State_Financial!$W$2</c:f>
              <c:strCache>
                <c:ptCount val="1"/>
                <c:pt idx="0">
                  <c:v>ACT</c:v>
                </c:pt>
              </c:strCache>
            </c:strRef>
          </c:tx>
          <c:spPr>
            <a:ln w="28575" cap="rnd">
              <a:solidFill>
                <a:schemeClr val="accent1"/>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State_Financial!$W$3:$W$12</c:f>
              <c:numCache>
                <c:formatCode>General</c:formatCode>
                <c:ptCount val="10"/>
                <c:pt idx="0">
                  <c:v>10.7</c:v>
                </c:pt>
                <c:pt idx="1">
                  <c:v>9.6</c:v>
                </c:pt>
                <c:pt idx="2">
                  <c:v>10.7</c:v>
                </c:pt>
                <c:pt idx="3">
                  <c:v>7.9</c:v>
                </c:pt>
                <c:pt idx="4">
                  <c:v>8.6</c:v>
                </c:pt>
                <c:pt idx="5">
                  <c:v>6.7</c:v>
                </c:pt>
                <c:pt idx="6">
                  <c:v>7.3</c:v>
                </c:pt>
                <c:pt idx="7">
                  <c:v>6.2</c:v>
                </c:pt>
                <c:pt idx="8">
                  <c:v>5.8</c:v>
                </c:pt>
                <c:pt idx="9">
                  <c:v>5.6</c:v>
                </c:pt>
              </c:numCache>
            </c:numRef>
          </c:val>
          <c:smooth val="0"/>
          <c:extLst>
            <c:ext xmlns:c16="http://schemas.microsoft.com/office/drawing/2014/chart" uri="{C3380CC4-5D6E-409C-BE32-E72D297353CC}">
              <c16:uniqueId val="{00000000-E2F8-4021-87B8-B950487BAEC4}"/>
            </c:ext>
          </c:extLst>
        </c:ser>
        <c:ser>
          <c:idx val="1"/>
          <c:order val="1"/>
          <c:tx>
            <c:strRef>
              <c:f>State_Financial!$X$2</c:f>
              <c:strCache>
                <c:ptCount val="1"/>
                <c:pt idx="0">
                  <c:v>NSW</c:v>
                </c:pt>
              </c:strCache>
            </c:strRef>
          </c:tx>
          <c:spPr>
            <a:ln w="28575" cap="rnd">
              <a:solidFill>
                <a:schemeClr val="accent2"/>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State_Financial!$X$3:$X$12</c:f>
              <c:numCache>
                <c:formatCode>General</c:formatCode>
                <c:ptCount val="10"/>
                <c:pt idx="0">
                  <c:v>10.7</c:v>
                </c:pt>
                <c:pt idx="1">
                  <c:v>11.9</c:v>
                </c:pt>
                <c:pt idx="2">
                  <c:v>10.8</c:v>
                </c:pt>
                <c:pt idx="3">
                  <c:v>9.8000000000000007</c:v>
                </c:pt>
                <c:pt idx="4">
                  <c:v>9.3000000000000007</c:v>
                </c:pt>
                <c:pt idx="5">
                  <c:v>8.6999999999999993</c:v>
                </c:pt>
                <c:pt idx="6">
                  <c:v>8.3000000000000007</c:v>
                </c:pt>
                <c:pt idx="7">
                  <c:v>8.3000000000000007</c:v>
                </c:pt>
                <c:pt idx="8">
                  <c:v>7.6</c:v>
                </c:pt>
                <c:pt idx="9">
                  <c:v>7.1</c:v>
                </c:pt>
              </c:numCache>
            </c:numRef>
          </c:val>
          <c:smooth val="0"/>
          <c:extLst>
            <c:ext xmlns:c16="http://schemas.microsoft.com/office/drawing/2014/chart" uri="{C3380CC4-5D6E-409C-BE32-E72D297353CC}">
              <c16:uniqueId val="{00000001-E2F8-4021-87B8-B950487BAEC4}"/>
            </c:ext>
          </c:extLst>
        </c:ser>
        <c:ser>
          <c:idx val="2"/>
          <c:order val="2"/>
          <c:tx>
            <c:strRef>
              <c:f>State_Financial!$Y$2</c:f>
              <c:strCache>
                <c:ptCount val="1"/>
                <c:pt idx="0">
                  <c:v>NT</c:v>
                </c:pt>
              </c:strCache>
            </c:strRef>
          </c:tx>
          <c:spPr>
            <a:ln w="28575" cap="rnd">
              <a:solidFill>
                <a:schemeClr val="accent3"/>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State_Financial!$Y$3:$Y$12</c:f>
              <c:numCache>
                <c:formatCode>General</c:formatCode>
                <c:ptCount val="10"/>
                <c:pt idx="0">
                  <c:v>11.6</c:v>
                </c:pt>
                <c:pt idx="1">
                  <c:v>13.6</c:v>
                </c:pt>
                <c:pt idx="2">
                  <c:v>12.8</c:v>
                </c:pt>
                <c:pt idx="3">
                  <c:v>11.2</c:v>
                </c:pt>
                <c:pt idx="4">
                  <c:v>11.5</c:v>
                </c:pt>
                <c:pt idx="5">
                  <c:v>8.4</c:v>
                </c:pt>
                <c:pt idx="6">
                  <c:v>7.2</c:v>
                </c:pt>
                <c:pt idx="7">
                  <c:v>7.6</c:v>
                </c:pt>
                <c:pt idx="8">
                  <c:v>8.9</c:v>
                </c:pt>
                <c:pt idx="9">
                  <c:v>8.1</c:v>
                </c:pt>
              </c:numCache>
            </c:numRef>
          </c:val>
          <c:smooth val="0"/>
          <c:extLst>
            <c:ext xmlns:c16="http://schemas.microsoft.com/office/drawing/2014/chart" uri="{C3380CC4-5D6E-409C-BE32-E72D297353CC}">
              <c16:uniqueId val="{00000002-E2F8-4021-87B8-B950487BAEC4}"/>
            </c:ext>
          </c:extLst>
        </c:ser>
        <c:ser>
          <c:idx val="3"/>
          <c:order val="3"/>
          <c:tx>
            <c:strRef>
              <c:f>State_Financial!$Z$2</c:f>
              <c:strCache>
                <c:ptCount val="1"/>
                <c:pt idx="0">
                  <c:v>QLD</c:v>
                </c:pt>
              </c:strCache>
            </c:strRef>
          </c:tx>
          <c:spPr>
            <a:ln w="28575" cap="rnd">
              <a:solidFill>
                <a:schemeClr val="accent4"/>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State_Financial!$Z$3:$Z$12</c:f>
              <c:numCache>
                <c:formatCode>General</c:formatCode>
                <c:ptCount val="10"/>
                <c:pt idx="0">
                  <c:v>13.2</c:v>
                </c:pt>
                <c:pt idx="1">
                  <c:v>15.8</c:v>
                </c:pt>
                <c:pt idx="2">
                  <c:v>14.7</c:v>
                </c:pt>
                <c:pt idx="3">
                  <c:v>13.4</c:v>
                </c:pt>
                <c:pt idx="4">
                  <c:v>12.8</c:v>
                </c:pt>
                <c:pt idx="5">
                  <c:v>11.7</c:v>
                </c:pt>
                <c:pt idx="6">
                  <c:v>11.1</c:v>
                </c:pt>
                <c:pt idx="7">
                  <c:v>10.9</c:v>
                </c:pt>
                <c:pt idx="8">
                  <c:v>10.199999999999999</c:v>
                </c:pt>
                <c:pt idx="9">
                  <c:v>9.5</c:v>
                </c:pt>
              </c:numCache>
            </c:numRef>
          </c:val>
          <c:smooth val="0"/>
          <c:extLst>
            <c:ext xmlns:c16="http://schemas.microsoft.com/office/drawing/2014/chart" uri="{C3380CC4-5D6E-409C-BE32-E72D297353CC}">
              <c16:uniqueId val="{00000003-E2F8-4021-87B8-B950487BAEC4}"/>
            </c:ext>
          </c:extLst>
        </c:ser>
        <c:ser>
          <c:idx val="4"/>
          <c:order val="4"/>
          <c:tx>
            <c:strRef>
              <c:f>State_Financial!$AA$2</c:f>
              <c:strCache>
                <c:ptCount val="1"/>
                <c:pt idx="0">
                  <c:v>SA</c:v>
                </c:pt>
              </c:strCache>
            </c:strRef>
          </c:tx>
          <c:spPr>
            <a:ln w="28575" cap="rnd">
              <a:solidFill>
                <a:schemeClr val="accent5"/>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State_Financial!$AA$3:$AA$12</c:f>
              <c:numCache>
                <c:formatCode>General</c:formatCode>
                <c:ptCount val="10"/>
                <c:pt idx="0">
                  <c:v>14</c:v>
                </c:pt>
                <c:pt idx="1">
                  <c:v>13.8</c:v>
                </c:pt>
                <c:pt idx="2">
                  <c:v>12.7</c:v>
                </c:pt>
                <c:pt idx="3">
                  <c:v>10.199999999999999</c:v>
                </c:pt>
                <c:pt idx="4">
                  <c:v>11.2</c:v>
                </c:pt>
                <c:pt idx="5">
                  <c:v>9.5</c:v>
                </c:pt>
                <c:pt idx="6">
                  <c:v>8.6999999999999993</c:v>
                </c:pt>
                <c:pt idx="7">
                  <c:v>8.4</c:v>
                </c:pt>
                <c:pt idx="8">
                  <c:v>8</c:v>
                </c:pt>
                <c:pt idx="9">
                  <c:v>8.5</c:v>
                </c:pt>
              </c:numCache>
            </c:numRef>
          </c:val>
          <c:smooth val="0"/>
          <c:extLst>
            <c:ext xmlns:c16="http://schemas.microsoft.com/office/drawing/2014/chart" uri="{C3380CC4-5D6E-409C-BE32-E72D297353CC}">
              <c16:uniqueId val="{00000004-E2F8-4021-87B8-B950487BAEC4}"/>
            </c:ext>
          </c:extLst>
        </c:ser>
        <c:ser>
          <c:idx val="5"/>
          <c:order val="5"/>
          <c:tx>
            <c:strRef>
              <c:f>State_Financial!$AB$2</c:f>
              <c:strCache>
                <c:ptCount val="1"/>
                <c:pt idx="0">
                  <c:v>TAS</c:v>
                </c:pt>
              </c:strCache>
            </c:strRef>
          </c:tx>
          <c:spPr>
            <a:ln w="28575" cap="rnd">
              <a:solidFill>
                <a:schemeClr val="tx1"/>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State_Financial!$AB$3:$AB$12</c:f>
              <c:numCache>
                <c:formatCode>General</c:formatCode>
                <c:ptCount val="10"/>
                <c:pt idx="0">
                  <c:v>15.1</c:v>
                </c:pt>
                <c:pt idx="1">
                  <c:v>16.2</c:v>
                </c:pt>
                <c:pt idx="2">
                  <c:v>16.3</c:v>
                </c:pt>
                <c:pt idx="3">
                  <c:v>14.4</c:v>
                </c:pt>
                <c:pt idx="4">
                  <c:v>16.899999999999999</c:v>
                </c:pt>
                <c:pt idx="5">
                  <c:v>14</c:v>
                </c:pt>
                <c:pt idx="6">
                  <c:v>12.7</c:v>
                </c:pt>
                <c:pt idx="7">
                  <c:v>13.6</c:v>
                </c:pt>
                <c:pt idx="8">
                  <c:v>13.5</c:v>
                </c:pt>
                <c:pt idx="9">
                  <c:v>13.3</c:v>
                </c:pt>
              </c:numCache>
            </c:numRef>
          </c:val>
          <c:smooth val="0"/>
          <c:extLst>
            <c:ext xmlns:c16="http://schemas.microsoft.com/office/drawing/2014/chart" uri="{C3380CC4-5D6E-409C-BE32-E72D297353CC}">
              <c16:uniqueId val="{00000005-E2F8-4021-87B8-B950487BAEC4}"/>
            </c:ext>
          </c:extLst>
        </c:ser>
        <c:ser>
          <c:idx val="6"/>
          <c:order val="6"/>
          <c:tx>
            <c:strRef>
              <c:f>State_Financial!$AC$2</c:f>
              <c:strCache>
                <c:ptCount val="1"/>
                <c:pt idx="0">
                  <c:v>VIC</c:v>
                </c:pt>
              </c:strCache>
            </c:strRef>
          </c:tx>
          <c:spPr>
            <a:ln w="28575" cap="rnd">
              <a:solidFill>
                <a:schemeClr val="accent1">
                  <a:lumMod val="60000"/>
                </a:schemeClr>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State_Financial!$AC$3:$AC$12</c:f>
              <c:numCache>
                <c:formatCode>General</c:formatCode>
                <c:ptCount val="10"/>
                <c:pt idx="0">
                  <c:v>10.7</c:v>
                </c:pt>
                <c:pt idx="1">
                  <c:v>11</c:v>
                </c:pt>
                <c:pt idx="2">
                  <c:v>10.199999999999999</c:v>
                </c:pt>
                <c:pt idx="3">
                  <c:v>9</c:v>
                </c:pt>
                <c:pt idx="4">
                  <c:v>8.5</c:v>
                </c:pt>
                <c:pt idx="5">
                  <c:v>7.4</c:v>
                </c:pt>
                <c:pt idx="6">
                  <c:v>7.1</c:v>
                </c:pt>
                <c:pt idx="7">
                  <c:v>7.2</c:v>
                </c:pt>
                <c:pt idx="8">
                  <c:v>6.8</c:v>
                </c:pt>
                <c:pt idx="9">
                  <c:v>6.1</c:v>
                </c:pt>
              </c:numCache>
            </c:numRef>
          </c:val>
          <c:smooth val="0"/>
          <c:extLst>
            <c:ext xmlns:c16="http://schemas.microsoft.com/office/drawing/2014/chart" uri="{C3380CC4-5D6E-409C-BE32-E72D297353CC}">
              <c16:uniqueId val="{00000006-E2F8-4021-87B8-B950487BAEC4}"/>
            </c:ext>
          </c:extLst>
        </c:ser>
        <c:ser>
          <c:idx val="7"/>
          <c:order val="7"/>
          <c:tx>
            <c:strRef>
              <c:f>State_Financial!$AD$2</c:f>
              <c:strCache>
                <c:ptCount val="1"/>
                <c:pt idx="0">
                  <c:v>WA</c:v>
                </c:pt>
              </c:strCache>
            </c:strRef>
          </c:tx>
          <c:spPr>
            <a:ln w="28575" cap="rnd">
              <a:solidFill>
                <a:schemeClr val="accent2">
                  <a:lumMod val="60000"/>
                </a:schemeClr>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State_Financial!$AD$3:$AD$12</c:f>
              <c:numCache>
                <c:formatCode>General</c:formatCode>
                <c:ptCount val="10"/>
                <c:pt idx="0">
                  <c:v>10.8</c:v>
                </c:pt>
                <c:pt idx="1">
                  <c:v>11.9</c:v>
                </c:pt>
                <c:pt idx="2">
                  <c:v>11.1</c:v>
                </c:pt>
                <c:pt idx="3">
                  <c:v>10.1</c:v>
                </c:pt>
                <c:pt idx="4">
                  <c:v>9.3000000000000007</c:v>
                </c:pt>
                <c:pt idx="5">
                  <c:v>8.4</c:v>
                </c:pt>
                <c:pt idx="6">
                  <c:v>8.1</c:v>
                </c:pt>
                <c:pt idx="7">
                  <c:v>8.5</c:v>
                </c:pt>
                <c:pt idx="8">
                  <c:v>8.1</c:v>
                </c:pt>
                <c:pt idx="9">
                  <c:v>8.1</c:v>
                </c:pt>
              </c:numCache>
            </c:numRef>
          </c:val>
          <c:smooth val="0"/>
          <c:extLst>
            <c:ext xmlns:c16="http://schemas.microsoft.com/office/drawing/2014/chart" uri="{C3380CC4-5D6E-409C-BE32-E72D297353CC}">
              <c16:uniqueId val="{00000007-E2F8-4021-87B8-B950487BAEC4}"/>
            </c:ext>
          </c:extLst>
        </c:ser>
        <c:dLbls>
          <c:showLegendKey val="0"/>
          <c:showVal val="0"/>
          <c:showCatName val="0"/>
          <c:showSerName val="0"/>
          <c:showPercent val="0"/>
          <c:showBubbleSize val="0"/>
        </c:dLbls>
        <c:smooth val="0"/>
        <c:axId val="580661544"/>
        <c:axId val="1"/>
      </c:lineChart>
      <c:catAx>
        <c:axId val="580661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a:lstStyle/>
              <a:p>
                <a:pPr>
                  <a:defRPr/>
                </a:pPr>
                <a:r>
                  <a:rPr lang="en-US"/>
                  <a:t>Rate per 1000 people</a:t>
                </a:r>
              </a:p>
            </c:rich>
          </c:tx>
          <c:layout/>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580661544"/>
        <c:crosses val="autoZero"/>
        <c:crossBetween val="between"/>
      </c:valAx>
      <c:spPr>
        <a:noFill/>
        <a:ln w="25400">
          <a:noFill/>
        </a:ln>
      </c:spPr>
    </c:plotArea>
    <c:legend>
      <c:legendPos val="b"/>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20091698884179"/>
          <c:y val="0.15730160412934918"/>
          <c:w val="0.78604780352027481"/>
          <c:h val="0.73258498746408218"/>
        </c:manualLayout>
      </c:layout>
      <c:lineChart>
        <c:grouping val="standard"/>
        <c:varyColors val="0"/>
        <c:ser>
          <c:idx val="1"/>
          <c:order val="0"/>
          <c:tx>
            <c:strRef>
              <c:f>Prev_SpecificPop!$J$2</c:f>
              <c:strCache>
                <c:ptCount val="1"/>
                <c:pt idx="0">
                  <c:v>Alcohol dependence</c:v>
                </c:pt>
              </c:strCache>
            </c:strRef>
          </c:tx>
          <c:spPr>
            <a:ln w="28575" cap="rnd">
              <a:solidFill>
                <a:schemeClr val="accent2"/>
              </a:solidFill>
              <a:round/>
            </a:ln>
            <a:effectLst/>
          </c:spPr>
          <c:marker>
            <c:symbol val="none"/>
          </c:marker>
          <c:cat>
            <c:numRef>
              <c:f>Prev_SpecificPop!$A$3:$A$11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Prev_SpecificPop!$J$3:$J$11</c:f>
              <c:numCache>
                <c:formatCode>General</c:formatCode>
                <c:ptCount val="9"/>
                <c:pt idx="0">
                  <c:v>0.7</c:v>
                </c:pt>
                <c:pt idx="1">
                  <c:v>0.7</c:v>
                </c:pt>
                <c:pt idx="2">
                  <c:v>0.8</c:v>
                </c:pt>
                <c:pt idx="3">
                  <c:v>0.8</c:v>
                </c:pt>
                <c:pt idx="4">
                  <c:v>0.9</c:v>
                </c:pt>
                <c:pt idx="5">
                  <c:v>1</c:v>
                </c:pt>
                <c:pt idx="6">
                  <c:v>1.1000000000000001</c:v>
                </c:pt>
                <c:pt idx="7">
                  <c:v>1.2</c:v>
                </c:pt>
                <c:pt idx="8">
                  <c:v>1.3</c:v>
                </c:pt>
              </c:numCache>
            </c:numRef>
          </c:val>
          <c:smooth val="0"/>
          <c:extLst>
            <c:ext xmlns:c16="http://schemas.microsoft.com/office/drawing/2014/chart" uri="{C3380CC4-5D6E-409C-BE32-E72D297353CC}">
              <c16:uniqueId val="{00000000-BE22-4431-B1FD-1A92D242FAEE}"/>
            </c:ext>
          </c:extLst>
        </c:ser>
        <c:ser>
          <c:idx val="2"/>
          <c:order val="1"/>
          <c:tx>
            <c:strRef>
              <c:f>Prev_SpecificPop!$K$2</c:f>
              <c:strCache>
                <c:ptCount val="1"/>
                <c:pt idx="0">
                  <c:v>Smoking illness</c:v>
                </c:pt>
              </c:strCache>
            </c:strRef>
          </c:tx>
          <c:spPr>
            <a:ln w="28575" cap="rnd">
              <a:solidFill>
                <a:schemeClr val="accent3"/>
              </a:solidFill>
              <a:round/>
            </a:ln>
            <a:effectLst/>
          </c:spPr>
          <c:marker>
            <c:symbol val="none"/>
          </c:marker>
          <c:cat>
            <c:numRef>
              <c:f>Prev_SpecificPop!$A$3:$A$11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Prev_SpecificPop!$K$3:$K$11</c:f>
              <c:numCache>
                <c:formatCode>General</c:formatCode>
                <c:ptCount val="9"/>
                <c:pt idx="0">
                  <c:v>11.2</c:v>
                </c:pt>
                <c:pt idx="1">
                  <c:v>11.6</c:v>
                </c:pt>
                <c:pt idx="2">
                  <c:v>11.9</c:v>
                </c:pt>
                <c:pt idx="3">
                  <c:v>12.6</c:v>
                </c:pt>
                <c:pt idx="4">
                  <c:v>13.7</c:v>
                </c:pt>
                <c:pt idx="5">
                  <c:v>14.7</c:v>
                </c:pt>
                <c:pt idx="6">
                  <c:v>15.6</c:v>
                </c:pt>
                <c:pt idx="7">
                  <c:v>15.8</c:v>
                </c:pt>
                <c:pt idx="8">
                  <c:v>16.3</c:v>
                </c:pt>
              </c:numCache>
            </c:numRef>
          </c:val>
          <c:smooth val="0"/>
          <c:extLst>
            <c:ext xmlns:c16="http://schemas.microsoft.com/office/drawing/2014/chart" uri="{C3380CC4-5D6E-409C-BE32-E72D297353CC}">
              <c16:uniqueId val="{00000001-BE22-4431-B1FD-1A92D242FAEE}"/>
            </c:ext>
          </c:extLst>
        </c:ser>
        <c:ser>
          <c:idx val="3"/>
          <c:order val="2"/>
          <c:tx>
            <c:strRef>
              <c:f>Prev_SpecificPop!$L$2</c:f>
              <c:strCache>
                <c:ptCount val="1"/>
                <c:pt idx="0">
                  <c:v>Mental illness</c:v>
                </c:pt>
              </c:strCache>
            </c:strRef>
          </c:tx>
          <c:spPr>
            <a:ln w="28575" cap="rnd">
              <a:solidFill>
                <a:schemeClr val="accent4"/>
              </a:solidFill>
              <a:round/>
            </a:ln>
            <a:effectLst/>
          </c:spPr>
          <c:marker>
            <c:symbol val="none"/>
          </c:marker>
          <c:cat>
            <c:numRef>
              <c:f>Prev_SpecificPop!$A$3:$A$11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Prev_SpecificPop!$L$3:$L$11</c:f>
              <c:numCache>
                <c:formatCode>General</c:formatCode>
                <c:ptCount val="9"/>
                <c:pt idx="0">
                  <c:v>24.1</c:v>
                </c:pt>
                <c:pt idx="1">
                  <c:v>28.8</c:v>
                </c:pt>
                <c:pt idx="2">
                  <c:v>30.5</c:v>
                </c:pt>
                <c:pt idx="3">
                  <c:v>32.6</c:v>
                </c:pt>
                <c:pt idx="4">
                  <c:v>34.299999999999997</c:v>
                </c:pt>
                <c:pt idx="5">
                  <c:v>36.4</c:v>
                </c:pt>
                <c:pt idx="6">
                  <c:v>37.6</c:v>
                </c:pt>
                <c:pt idx="7">
                  <c:v>38.700000000000003</c:v>
                </c:pt>
                <c:pt idx="8">
                  <c:v>39.6</c:v>
                </c:pt>
              </c:numCache>
            </c:numRef>
          </c:val>
          <c:smooth val="0"/>
          <c:extLst>
            <c:ext xmlns:c16="http://schemas.microsoft.com/office/drawing/2014/chart" uri="{C3380CC4-5D6E-409C-BE32-E72D297353CC}">
              <c16:uniqueId val="{00000002-BE22-4431-B1FD-1A92D242FAEE}"/>
            </c:ext>
          </c:extLst>
        </c:ser>
        <c:ser>
          <c:idx val="4"/>
          <c:order val="3"/>
          <c:tx>
            <c:strRef>
              <c:f>Prev_SpecificPop!$M$2</c:f>
              <c:strCache>
                <c:ptCount val="1"/>
                <c:pt idx="0">
                  <c:v>Women 15-44</c:v>
                </c:pt>
              </c:strCache>
            </c:strRef>
          </c:tx>
          <c:spPr>
            <a:ln w="28575" cap="rnd">
              <a:solidFill>
                <a:schemeClr val="accent5"/>
              </a:solidFill>
              <a:round/>
            </a:ln>
            <a:effectLst/>
          </c:spPr>
          <c:marker>
            <c:symbol val="none"/>
          </c:marker>
          <c:cat>
            <c:numRef>
              <c:f>Prev_SpecificPop!$A$3:$A$11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Prev_SpecificPop!$M$3:$M$11</c:f>
              <c:numCache>
                <c:formatCode>General</c:formatCode>
                <c:ptCount val="9"/>
                <c:pt idx="0">
                  <c:v>22.7</c:v>
                </c:pt>
                <c:pt idx="1">
                  <c:v>22.7</c:v>
                </c:pt>
                <c:pt idx="2">
                  <c:v>22.2</c:v>
                </c:pt>
                <c:pt idx="3">
                  <c:v>21.9</c:v>
                </c:pt>
                <c:pt idx="4">
                  <c:v>20.8</c:v>
                </c:pt>
                <c:pt idx="5">
                  <c:v>20.100000000000001</c:v>
                </c:pt>
                <c:pt idx="6">
                  <c:v>19.5</c:v>
                </c:pt>
                <c:pt idx="7">
                  <c:v>18.600000000000001</c:v>
                </c:pt>
                <c:pt idx="8">
                  <c:v>17.7</c:v>
                </c:pt>
              </c:numCache>
            </c:numRef>
          </c:val>
          <c:smooth val="0"/>
          <c:extLst>
            <c:ext xmlns:c16="http://schemas.microsoft.com/office/drawing/2014/chart" uri="{C3380CC4-5D6E-409C-BE32-E72D297353CC}">
              <c16:uniqueId val="{00000003-BE22-4431-B1FD-1A92D242FAEE}"/>
            </c:ext>
          </c:extLst>
        </c:ser>
        <c:ser>
          <c:idx val="5"/>
          <c:order val="4"/>
          <c:tx>
            <c:strRef>
              <c:f>Prev_SpecificPop!$N$2</c:f>
              <c:strCache>
                <c:ptCount val="1"/>
                <c:pt idx="0">
                  <c:v>Indigenous</c:v>
                </c:pt>
              </c:strCache>
            </c:strRef>
          </c:tx>
          <c:spPr>
            <a:ln w="28575" cap="rnd">
              <a:solidFill>
                <a:schemeClr val="accent6"/>
              </a:solidFill>
              <a:round/>
            </a:ln>
            <a:effectLst/>
          </c:spPr>
          <c:marker>
            <c:symbol val="none"/>
          </c:marker>
          <c:cat>
            <c:numRef>
              <c:f>Prev_SpecificPop!$A$3:$A$11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Prev_SpecificPop!$N$3:$N$11</c:f>
              <c:numCache>
                <c:formatCode>General</c:formatCode>
                <c:ptCount val="9"/>
                <c:pt idx="0">
                  <c:v>6.2</c:v>
                </c:pt>
                <c:pt idx="1">
                  <c:v>6.9</c:v>
                </c:pt>
                <c:pt idx="2">
                  <c:v>7.4</c:v>
                </c:pt>
                <c:pt idx="3">
                  <c:v>7.9</c:v>
                </c:pt>
                <c:pt idx="4">
                  <c:v>8.4</c:v>
                </c:pt>
                <c:pt idx="5">
                  <c:v>8.9</c:v>
                </c:pt>
                <c:pt idx="6">
                  <c:v>9.3000000000000007</c:v>
                </c:pt>
                <c:pt idx="7">
                  <c:v>9.5</c:v>
                </c:pt>
                <c:pt idx="8">
                  <c:v>10</c:v>
                </c:pt>
              </c:numCache>
            </c:numRef>
          </c:val>
          <c:smooth val="0"/>
          <c:extLst>
            <c:ext xmlns:c16="http://schemas.microsoft.com/office/drawing/2014/chart" uri="{C3380CC4-5D6E-409C-BE32-E72D297353CC}">
              <c16:uniqueId val="{00000004-BE22-4431-B1FD-1A92D242FAEE}"/>
            </c:ext>
          </c:extLst>
        </c:ser>
        <c:dLbls>
          <c:showLegendKey val="0"/>
          <c:showVal val="0"/>
          <c:showCatName val="0"/>
          <c:showSerName val="0"/>
          <c:showPercent val="0"/>
          <c:showBubbleSize val="0"/>
        </c:dLbls>
        <c:smooth val="0"/>
        <c:axId val="598901968"/>
        <c:axId val="1"/>
      </c:lineChart>
      <c:catAx>
        <c:axId val="59890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Percent of people with smoking cessation therapies in the given year</a:t>
                </a:r>
              </a:p>
            </c:rich>
          </c:tx>
          <c:layout>
            <c:manualLayout>
              <c:xMode val="edge"/>
              <c:yMode val="edge"/>
              <c:x val="2.085112916965369E-2"/>
              <c:y val="0.19573957784040766"/>
            </c:manualLayout>
          </c:layout>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598901968"/>
        <c:crosses val="autoZero"/>
        <c:crossBetween val="between"/>
      </c:valAx>
      <c:spPr>
        <a:noFill/>
        <a:ln w="25400">
          <a:noFill/>
        </a:ln>
      </c:spPr>
    </c:plotArea>
    <c:legend>
      <c:legendPos val="t"/>
      <c:layout>
        <c:manualLayout>
          <c:xMode val="edge"/>
          <c:yMode val="edge"/>
          <c:x val="0.15069326742802039"/>
          <c:y val="2.0982689281342892E-2"/>
          <c:w val="0.74829653869964807"/>
          <c:h val="0.17718421672199175"/>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Prevalence!$B$4</c:f>
              <c:strCache>
                <c:ptCount val="1"/>
                <c:pt idx="0">
                  <c:v>Males</c:v>
                </c:pt>
              </c:strCache>
            </c:strRef>
          </c:tx>
          <c:spPr>
            <a:ln w="28575" cap="rnd">
              <a:solidFill>
                <a:schemeClr val="accent1"/>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Prevalence!$B$5:$B$11</c:f>
              <c:numCache>
                <c:formatCode>#,##0</c:formatCode>
                <c:ptCount val="7"/>
                <c:pt idx="0">
                  <c:v>2000000</c:v>
                </c:pt>
                <c:pt idx="1">
                  <c:v>1800000</c:v>
                </c:pt>
                <c:pt idx="2">
                  <c:v>1800000</c:v>
                </c:pt>
                <c:pt idx="3">
                  <c:v>1800000</c:v>
                </c:pt>
                <c:pt idx="4">
                  <c:v>1700000</c:v>
                </c:pt>
                <c:pt idx="5">
                  <c:v>1700000</c:v>
                </c:pt>
                <c:pt idx="6">
                  <c:v>1600000</c:v>
                </c:pt>
              </c:numCache>
            </c:numRef>
          </c:val>
          <c:smooth val="0"/>
          <c:extLst>
            <c:ext xmlns:c16="http://schemas.microsoft.com/office/drawing/2014/chart" uri="{C3380CC4-5D6E-409C-BE32-E72D297353CC}">
              <c16:uniqueId val="{00000000-306E-4D93-852A-1A1BDB610A2E}"/>
            </c:ext>
          </c:extLst>
        </c:ser>
        <c:ser>
          <c:idx val="1"/>
          <c:order val="1"/>
          <c:tx>
            <c:strRef>
              <c:f>Prevalence!$C$4</c:f>
              <c:strCache>
                <c:ptCount val="1"/>
                <c:pt idx="0">
                  <c:v>Females</c:v>
                </c:pt>
              </c:strCache>
            </c:strRef>
          </c:tx>
          <c:spPr>
            <a:ln w="28575" cap="rnd">
              <a:solidFill>
                <a:schemeClr val="accent2"/>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Prevalence!$C$5:$C$11</c:f>
              <c:numCache>
                <c:formatCode>#,##0</c:formatCode>
                <c:ptCount val="7"/>
                <c:pt idx="0">
                  <c:v>1600000</c:v>
                </c:pt>
                <c:pt idx="1">
                  <c:v>1600000</c:v>
                </c:pt>
                <c:pt idx="2">
                  <c:v>1500000</c:v>
                </c:pt>
                <c:pt idx="3">
                  <c:v>1500000</c:v>
                </c:pt>
                <c:pt idx="4">
                  <c:v>1300000</c:v>
                </c:pt>
                <c:pt idx="5">
                  <c:v>1300000</c:v>
                </c:pt>
                <c:pt idx="6">
                  <c:v>1300000</c:v>
                </c:pt>
              </c:numCache>
            </c:numRef>
          </c:val>
          <c:smooth val="0"/>
          <c:extLst>
            <c:ext xmlns:c16="http://schemas.microsoft.com/office/drawing/2014/chart" uri="{C3380CC4-5D6E-409C-BE32-E72D297353CC}">
              <c16:uniqueId val="{00000001-306E-4D93-852A-1A1BDB610A2E}"/>
            </c:ext>
          </c:extLst>
        </c:ser>
        <c:ser>
          <c:idx val="2"/>
          <c:order val="2"/>
          <c:tx>
            <c:strRef>
              <c:f>Prevalence!$D$4</c:f>
              <c:strCache>
                <c:ptCount val="1"/>
                <c:pt idx="0">
                  <c:v>Total</c:v>
                </c:pt>
              </c:strCache>
            </c:strRef>
          </c:tx>
          <c:spPr>
            <a:ln w="28575" cap="rnd">
              <a:solidFill>
                <a:schemeClr val="tx1"/>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Prevalence!$D$5:$D$11</c:f>
              <c:numCache>
                <c:formatCode>#,##0</c:formatCode>
                <c:ptCount val="7"/>
                <c:pt idx="0">
                  <c:v>3600000</c:v>
                </c:pt>
                <c:pt idx="1">
                  <c:v>3400000</c:v>
                </c:pt>
                <c:pt idx="2">
                  <c:v>3300000</c:v>
                </c:pt>
                <c:pt idx="3">
                  <c:v>3300000</c:v>
                </c:pt>
                <c:pt idx="4">
                  <c:v>3000000</c:v>
                </c:pt>
                <c:pt idx="5">
                  <c:v>3000000</c:v>
                </c:pt>
                <c:pt idx="6">
                  <c:v>2900000</c:v>
                </c:pt>
              </c:numCache>
            </c:numRef>
          </c:val>
          <c:smooth val="0"/>
          <c:extLst>
            <c:ext xmlns:c16="http://schemas.microsoft.com/office/drawing/2014/chart" uri="{C3380CC4-5D6E-409C-BE32-E72D297353CC}">
              <c16:uniqueId val="{00000002-306E-4D93-852A-1A1BDB610A2E}"/>
            </c:ext>
          </c:extLst>
        </c:ser>
        <c:dLbls>
          <c:showLegendKey val="0"/>
          <c:showVal val="0"/>
          <c:showCatName val="0"/>
          <c:showSerName val="0"/>
          <c:showPercent val="0"/>
          <c:showBubbleSize val="0"/>
        </c:dLbls>
        <c:smooth val="0"/>
        <c:axId val="487790944"/>
        <c:axId val="487791272"/>
      </c:lineChart>
      <c:catAx>
        <c:axId val="48779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87791272"/>
        <c:crosses val="autoZero"/>
        <c:auto val="1"/>
        <c:lblAlgn val="ctr"/>
        <c:lblOffset val="100"/>
        <c:noMultiLvlLbl val="0"/>
      </c:catAx>
      <c:valAx>
        <c:axId val="487791272"/>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people</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87790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Prevalence!$F$4</c:f>
              <c:strCache>
                <c:ptCount val="1"/>
                <c:pt idx="0">
                  <c:v>Males</c:v>
                </c:pt>
              </c:strCache>
            </c:strRef>
          </c:tx>
          <c:spPr>
            <a:ln w="28575" cap="rnd">
              <a:solidFill>
                <a:schemeClr val="accent1"/>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Prevalence!$F$5:$F$11</c:f>
              <c:numCache>
                <c:formatCode>0.0</c:formatCode>
                <c:ptCount val="7"/>
                <c:pt idx="0">
                  <c:v>26.5</c:v>
                </c:pt>
                <c:pt idx="1">
                  <c:v>23.7</c:v>
                </c:pt>
                <c:pt idx="2">
                  <c:v>22.4</c:v>
                </c:pt>
                <c:pt idx="3">
                  <c:v>20.8</c:v>
                </c:pt>
                <c:pt idx="4">
                  <c:v>18.899999999999999</c:v>
                </c:pt>
                <c:pt idx="5">
                  <c:v>18</c:v>
                </c:pt>
                <c:pt idx="6">
                  <c:v>16.600000000000001</c:v>
                </c:pt>
              </c:numCache>
            </c:numRef>
          </c:val>
          <c:smooth val="0"/>
          <c:extLst>
            <c:ext xmlns:c16="http://schemas.microsoft.com/office/drawing/2014/chart" uri="{C3380CC4-5D6E-409C-BE32-E72D297353CC}">
              <c16:uniqueId val="{00000000-2520-4671-9782-1EB58C83F462}"/>
            </c:ext>
          </c:extLst>
        </c:ser>
        <c:ser>
          <c:idx val="2"/>
          <c:order val="1"/>
          <c:tx>
            <c:strRef>
              <c:f>Prevalence!$G$4</c:f>
              <c:strCache>
                <c:ptCount val="1"/>
                <c:pt idx="0">
                  <c:v>Females</c:v>
                </c:pt>
              </c:strCache>
            </c:strRef>
          </c:tx>
          <c:spPr>
            <a:ln w="28575" cap="rnd">
              <a:solidFill>
                <a:schemeClr val="accent2"/>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Prevalence!$G$5:$G$11</c:f>
              <c:numCache>
                <c:formatCode>0.0</c:formatCode>
                <c:ptCount val="7"/>
                <c:pt idx="0">
                  <c:v>21.1</c:v>
                </c:pt>
                <c:pt idx="1">
                  <c:v>19.399999999999999</c:v>
                </c:pt>
                <c:pt idx="2">
                  <c:v>18.399999999999999</c:v>
                </c:pt>
                <c:pt idx="3">
                  <c:v>17</c:v>
                </c:pt>
                <c:pt idx="4">
                  <c:v>13.9</c:v>
                </c:pt>
                <c:pt idx="5">
                  <c:v>13.4</c:v>
                </c:pt>
                <c:pt idx="6">
                  <c:v>12.8</c:v>
                </c:pt>
              </c:numCache>
            </c:numRef>
          </c:val>
          <c:smooth val="0"/>
          <c:extLst>
            <c:ext xmlns:c16="http://schemas.microsoft.com/office/drawing/2014/chart" uri="{C3380CC4-5D6E-409C-BE32-E72D297353CC}">
              <c16:uniqueId val="{00000001-2520-4671-9782-1EB58C83F462}"/>
            </c:ext>
          </c:extLst>
        </c:ser>
        <c:ser>
          <c:idx val="3"/>
          <c:order val="2"/>
          <c:tx>
            <c:strRef>
              <c:f>Prevalence!$H$4</c:f>
              <c:strCache>
                <c:ptCount val="1"/>
                <c:pt idx="0">
                  <c:v>Total</c:v>
                </c:pt>
              </c:strCache>
            </c:strRef>
          </c:tx>
          <c:spPr>
            <a:ln w="28575" cap="rnd">
              <a:solidFill>
                <a:schemeClr val="tx1"/>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Prevalence!$H$5:$H$11</c:f>
              <c:numCache>
                <c:formatCode>0.0</c:formatCode>
                <c:ptCount val="7"/>
                <c:pt idx="0">
                  <c:v>23.8</c:v>
                </c:pt>
                <c:pt idx="1">
                  <c:v>21.5</c:v>
                </c:pt>
                <c:pt idx="2">
                  <c:v>20.399999999999999</c:v>
                </c:pt>
                <c:pt idx="3">
                  <c:v>18.899999999999999</c:v>
                </c:pt>
                <c:pt idx="4">
                  <c:v>16.399999999999999</c:v>
                </c:pt>
                <c:pt idx="5">
                  <c:v>15.7</c:v>
                </c:pt>
                <c:pt idx="6">
                  <c:v>14.7</c:v>
                </c:pt>
              </c:numCache>
            </c:numRef>
          </c:val>
          <c:smooth val="0"/>
          <c:extLst>
            <c:ext xmlns:c16="http://schemas.microsoft.com/office/drawing/2014/chart" uri="{C3380CC4-5D6E-409C-BE32-E72D297353CC}">
              <c16:uniqueId val="{00000002-2520-4671-9782-1EB58C83F462}"/>
            </c:ext>
          </c:extLst>
        </c:ser>
        <c:dLbls>
          <c:showLegendKey val="0"/>
          <c:showVal val="0"/>
          <c:showCatName val="0"/>
          <c:showSerName val="0"/>
          <c:showPercent val="0"/>
          <c:showBubbleSize val="0"/>
        </c:dLbls>
        <c:smooth val="0"/>
        <c:axId val="578469936"/>
        <c:axId val="575778472"/>
      </c:lineChart>
      <c:catAx>
        <c:axId val="57846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5778472"/>
        <c:crosses val="autoZero"/>
        <c:auto val="1"/>
        <c:lblAlgn val="ctr"/>
        <c:lblOffset val="100"/>
        <c:noMultiLvlLbl val="0"/>
      </c:catAx>
      <c:valAx>
        <c:axId val="575778472"/>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 of Australian population aged 18+</a:t>
                </a:r>
              </a:p>
            </c:rich>
          </c:tx>
          <c:layout>
            <c:manualLayout>
              <c:xMode val="edge"/>
              <c:yMode val="edge"/>
              <c:x val="3.0555555555555555E-2"/>
              <c:y val="0.1805555555555555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8469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24006614557794"/>
          <c:y val="4.9393939393939393E-2"/>
          <c:w val="0.82289790699239518"/>
          <c:h val="0.69249207485427955"/>
        </c:manualLayout>
      </c:layout>
      <c:barChart>
        <c:barDir val="col"/>
        <c:grouping val="clustered"/>
        <c:varyColors val="0"/>
        <c:ser>
          <c:idx val="0"/>
          <c:order val="0"/>
          <c:tx>
            <c:strRef>
              <c:f>byState!$B$5</c:f>
              <c:strCache>
                <c:ptCount val="1"/>
                <c:pt idx="0">
                  <c:v>Males</c:v>
                </c:pt>
              </c:strCache>
            </c:strRef>
          </c:tx>
          <c:spPr>
            <a:solidFill>
              <a:schemeClr val="accent1"/>
            </a:solidFill>
            <a:ln>
              <a:noFill/>
            </a:ln>
            <a:effectLst/>
          </c:spPr>
          <c:invertIfNegative val="0"/>
          <c:cat>
            <c:strRef>
              <c:f>byState!$A$6:$A$14</c:f>
              <c:strCache>
                <c:ptCount val="9"/>
                <c:pt idx="0">
                  <c:v>NSW</c:v>
                </c:pt>
                <c:pt idx="1">
                  <c:v>Vic</c:v>
                </c:pt>
                <c:pt idx="2">
                  <c:v>Qld</c:v>
                </c:pt>
                <c:pt idx="3">
                  <c:v>WA</c:v>
                </c:pt>
                <c:pt idx="4">
                  <c:v>SA</c:v>
                </c:pt>
                <c:pt idx="5">
                  <c:v>Tas</c:v>
                </c:pt>
                <c:pt idx="6">
                  <c:v>ACT</c:v>
                </c:pt>
                <c:pt idx="7">
                  <c:v>NT</c:v>
                </c:pt>
                <c:pt idx="8">
                  <c:v>AUSTRALIA</c:v>
                </c:pt>
              </c:strCache>
            </c:strRef>
          </c:cat>
          <c:val>
            <c:numRef>
              <c:f>byState!$B$6:$B$14</c:f>
              <c:numCache>
                <c:formatCode>General</c:formatCode>
                <c:ptCount val="9"/>
                <c:pt idx="0">
                  <c:v>14</c:v>
                </c:pt>
                <c:pt idx="1">
                  <c:v>16.2</c:v>
                </c:pt>
                <c:pt idx="2">
                  <c:v>19.5</c:v>
                </c:pt>
                <c:pt idx="3">
                  <c:v>17.3</c:v>
                </c:pt>
                <c:pt idx="4">
                  <c:v>16.100000000000001</c:v>
                </c:pt>
                <c:pt idx="5">
                  <c:v>13.8</c:v>
                </c:pt>
                <c:pt idx="6">
                  <c:v>9.9</c:v>
                </c:pt>
                <c:pt idx="7">
                  <c:v>20.6</c:v>
                </c:pt>
                <c:pt idx="8">
                  <c:v>16.2</c:v>
                </c:pt>
              </c:numCache>
            </c:numRef>
          </c:val>
          <c:extLst>
            <c:ext xmlns:c16="http://schemas.microsoft.com/office/drawing/2014/chart" uri="{C3380CC4-5D6E-409C-BE32-E72D297353CC}">
              <c16:uniqueId val="{00000000-9FC2-4BB9-82D8-9916C72978D3}"/>
            </c:ext>
          </c:extLst>
        </c:ser>
        <c:ser>
          <c:idx val="1"/>
          <c:order val="1"/>
          <c:tx>
            <c:strRef>
              <c:f>byState!$C$5</c:f>
              <c:strCache>
                <c:ptCount val="1"/>
                <c:pt idx="0">
                  <c:v>Females</c:v>
                </c:pt>
              </c:strCache>
            </c:strRef>
          </c:tx>
          <c:spPr>
            <a:solidFill>
              <a:schemeClr val="accent2"/>
            </a:solidFill>
            <a:ln>
              <a:noFill/>
            </a:ln>
            <a:effectLst/>
          </c:spPr>
          <c:invertIfNegative val="0"/>
          <c:cat>
            <c:strRef>
              <c:f>byState!$A$6:$A$14</c:f>
              <c:strCache>
                <c:ptCount val="9"/>
                <c:pt idx="0">
                  <c:v>NSW</c:v>
                </c:pt>
                <c:pt idx="1">
                  <c:v>Vic</c:v>
                </c:pt>
                <c:pt idx="2">
                  <c:v>Qld</c:v>
                </c:pt>
                <c:pt idx="3">
                  <c:v>WA</c:v>
                </c:pt>
                <c:pt idx="4">
                  <c:v>SA</c:v>
                </c:pt>
                <c:pt idx="5">
                  <c:v>Tas</c:v>
                </c:pt>
                <c:pt idx="6">
                  <c:v>ACT</c:v>
                </c:pt>
                <c:pt idx="7">
                  <c:v>NT</c:v>
                </c:pt>
                <c:pt idx="8">
                  <c:v>AUSTRALIA</c:v>
                </c:pt>
              </c:strCache>
            </c:strRef>
          </c:cat>
          <c:val>
            <c:numRef>
              <c:f>byState!$C$6:$C$14</c:f>
              <c:numCache>
                <c:formatCode>General</c:formatCode>
                <c:ptCount val="9"/>
                <c:pt idx="0">
                  <c:v>11.4</c:v>
                </c:pt>
                <c:pt idx="1">
                  <c:v>11.3</c:v>
                </c:pt>
                <c:pt idx="2">
                  <c:v>14.7</c:v>
                </c:pt>
                <c:pt idx="3">
                  <c:v>12.9</c:v>
                </c:pt>
                <c:pt idx="4">
                  <c:v>13.3</c:v>
                </c:pt>
                <c:pt idx="5">
                  <c:v>15.9</c:v>
                </c:pt>
                <c:pt idx="6">
                  <c:v>9.4</c:v>
                </c:pt>
                <c:pt idx="7">
                  <c:v>14.4</c:v>
                </c:pt>
                <c:pt idx="8">
                  <c:v>12.4</c:v>
                </c:pt>
              </c:numCache>
            </c:numRef>
          </c:val>
          <c:extLst>
            <c:ext xmlns:c16="http://schemas.microsoft.com/office/drawing/2014/chart" uri="{C3380CC4-5D6E-409C-BE32-E72D297353CC}">
              <c16:uniqueId val="{00000001-9FC2-4BB9-82D8-9916C72978D3}"/>
            </c:ext>
          </c:extLst>
        </c:ser>
        <c:ser>
          <c:idx val="2"/>
          <c:order val="2"/>
          <c:tx>
            <c:strRef>
              <c:f>byState!$D$5</c:f>
              <c:strCache>
                <c:ptCount val="1"/>
                <c:pt idx="0">
                  <c:v>Total </c:v>
                </c:pt>
              </c:strCache>
            </c:strRef>
          </c:tx>
          <c:spPr>
            <a:solidFill>
              <a:schemeClr val="tx1"/>
            </a:solidFill>
            <a:ln>
              <a:solidFill>
                <a:schemeClr val="tx1"/>
              </a:solidFill>
            </a:ln>
            <a:effectLst/>
          </c:spPr>
          <c:invertIfNegative val="0"/>
          <c:cat>
            <c:strRef>
              <c:f>byState!$A$6:$A$14</c:f>
              <c:strCache>
                <c:ptCount val="9"/>
                <c:pt idx="0">
                  <c:v>NSW</c:v>
                </c:pt>
                <c:pt idx="1">
                  <c:v>Vic</c:v>
                </c:pt>
                <c:pt idx="2">
                  <c:v>Qld</c:v>
                </c:pt>
                <c:pt idx="3">
                  <c:v>WA</c:v>
                </c:pt>
                <c:pt idx="4">
                  <c:v>SA</c:v>
                </c:pt>
                <c:pt idx="5">
                  <c:v>Tas</c:v>
                </c:pt>
                <c:pt idx="6">
                  <c:v>ACT</c:v>
                </c:pt>
                <c:pt idx="7">
                  <c:v>NT</c:v>
                </c:pt>
                <c:pt idx="8">
                  <c:v>AUSTRALIA</c:v>
                </c:pt>
              </c:strCache>
            </c:strRef>
          </c:cat>
          <c:val>
            <c:numRef>
              <c:f>byState!$D$6:$D$14</c:f>
              <c:numCache>
                <c:formatCode>General</c:formatCode>
                <c:ptCount val="9"/>
                <c:pt idx="0">
                  <c:v>12.7</c:v>
                </c:pt>
                <c:pt idx="1">
                  <c:v>13.8</c:v>
                </c:pt>
                <c:pt idx="2">
                  <c:v>17</c:v>
                </c:pt>
                <c:pt idx="3">
                  <c:v>15</c:v>
                </c:pt>
                <c:pt idx="4">
                  <c:v>14.7</c:v>
                </c:pt>
                <c:pt idx="5">
                  <c:v>14.7</c:v>
                </c:pt>
                <c:pt idx="6">
                  <c:v>9.8000000000000007</c:v>
                </c:pt>
                <c:pt idx="7">
                  <c:v>17.5</c:v>
                </c:pt>
                <c:pt idx="8">
                  <c:v>14.7</c:v>
                </c:pt>
              </c:numCache>
            </c:numRef>
          </c:val>
          <c:extLst>
            <c:ext xmlns:c16="http://schemas.microsoft.com/office/drawing/2014/chart" uri="{C3380CC4-5D6E-409C-BE32-E72D297353CC}">
              <c16:uniqueId val="{00000002-9FC2-4BB9-82D8-9916C72978D3}"/>
            </c:ext>
          </c:extLst>
        </c:ser>
        <c:dLbls>
          <c:showLegendKey val="0"/>
          <c:showVal val="0"/>
          <c:showCatName val="0"/>
          <c:showSerName val="0"/>
          <c:showPercent val="0"/>
          <c:showBubbleSize val="0"/>
        </c:dLbls>
        <c:gapWidth val="219"/>
        <c:overlap val="-27"/>
        <c:axId val="543557136"/>
        <c:axId val="543557464"/>
      </c:barChart>
      <c:catAx>
        <c:axId val="54355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43557464"/>
        <c:crosses val="autoZero"/>
        <c:auto val="1"/>
        <c:lblAlgn val="ctr"/>
        <c:lblOffset val="100"/>
        <c:noMultiLvlLbl val="0"/>
      </c:catAx>
      <c:valAx>
        <c:axId val="543557464"/>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 of all Australian population in a given state/territory</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43557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Aboriginals!$B$8</c:f>
              <c:strCache>
                <c:ptCount val="1"/>
                <c:pt idx="0">
                  <c:v>Indigenous people</c:v>
                </c:pt>
              </c:strCache>
            </c:strRef>
          </c:tx>
          <c:spPr>
            <a:ln w="28575" cap="rnd">
              <a:solidFill>
                <a:schemeClr val="accent1"/>
              </a:solidFill>
              <a:round/>
            </a:ln>
            <a:effectLst/>
          </c:spPr>
          <c:marker>
            <c:symbol val="none"/>
          </c:marker>
          <c:cat>
            <c:numRef>
              <c:f>Aboriginals!$A$9:$A$14</c:f>
              <c:numCache>
                <c:formatCode>General</c:formatCode>
                <c:ptCount val="6"/>
                <c:pt idx="0">
                  <c:v>2001</c:v>
                </c:pt>
                <c:pt idx="1">
                  <c:v>2004</c:v>
                </c:pt>
                <c:pt idx="2">
                  <c:v>2008</c:v>
                </c:pt>
                <c:pt idx="3">
                  <c:v>2013</c:v>
                </c:pt>
                <c:pt idx="4">
                  <c:v>2015</c:v>
                </c:pt>
                <c:pt idx="5">
                  <c:v>2019</c:v>
                </c:pt>
              </c:numCache>
            </c:numRef>
          </c:cat>
          <c:val>
            <c:numRef>
              <c:f>Aboriginals!$B$9:$B$14</c:f>
              <c:numCache>
                <c:formatCode>General</c:formatCode>
                <c:ptCount val="6"/>
                <c:pt idx="0">
                  <c:v>53</c:v>
                </c:pt>
                <c:pt idx="1">
                  <c:v>52.1</c:v>
                </c:pt>
                <c:pt idx="2">
                  <c:v>49.8</c:v>
                </c:pt>
                <c:pt idx="3">
                  <c:v>45.8</c:v>
                </c:pt>
                <c:pt idx="4">
                  <c:v>44.5</c:v>
                </c:pt>
                <c:pt idx="5">
                  <c:v>41.4</c:v>
                </c:pt>
              </c:numCache>
            </c:numRef>
          </c:val>
          <c:smooth val="0"/>
          <c:extLst>
            <c:ext xmlns:c16="http://schemas.microsoft.com/office/drawing/2014/chart" uri="{C3380CC4-5D6E-409C-BE32-E72D297353CC}">
              <c16:uniqueId val="{00000000-6FE7-432D-884F-E3398610BFDC}"/>
            </c:ext>
          </c:extLst>
        </c:ser>
        <c:ser>
          <c:idx val="1"/>
          <c:order val="1"/>
          <c:tx>
            <c:strRef>
              <c:f>Aboriginals!$C$8</c:f>
              <c:strCache>
                <c:ptCount val="1"/>
                <c:pt idx="0">
                  <c:v>Non-Indigenous people</c:v>
                </c:pt>
              </c:strCache>
            </c:strRef>
          </c:tx>
          <c:spPr>
            <a:ln w="28575" cap="rnd">
              <a:solidFill>
                <a:schemeClr val="accent2"/>
              </a:solidFill>
              <a:round/>
            </a:ln>
            <a:effectLst/>
          </c:spPr>
          <c:marker>
            <c:symbol val="none"/>
          </c:marker>
          <c:cat>
            <c:numRef>
              <c:f>Aboriginals!$A$9:$A$14</c:f>
              <c:numCache>
                <c:formatCode>General</c:formatCode>
                <c:ptCount val="6"/>
                <c:pt idx="0">
                  <c:v>2001</c:v>
                </c:pt>
                <c:pt idx="1">
                  <c:v>2004</c:v>
                </c:pt>
                <c:pt idx="2">
                  <c:v>2008</c:v>
                </c:pt>
                <c:pt idx="3">
                  <c:v>2013</c:v>
                </c:pt>
                <c:pt idx="4">
                  <c:v>2015</c:v>
                </c:pt>
                <c:pt idx="5">
                  <c:v>2019</c:v>
                </c:pt>
              </c:numCache>
            </c:numRef>
          </c:cat>
          <c:val>
            <c:numRef>
              <c:f>Aboriginals!$C$9:$C$14</c:f>
              <c:numCache>
                <c:formatCode>General</c:formatCode>
                <c:ptCount val="6"/>
                <c:pt idx="0">
                  <c:v>24</c:v>
                </c:pt>
                <c:pt idx="1">
                  <c:v>21.5</c:v>
                </c:pt>
                <c:pt idx="2">
                  <c:v>20</c:v>
                </c:pt>
                <c:pt idx="3">
                  <c:v>17</c:v>
                </c:pt>
                <c:pt idx="4">
                  <c:v>15.3</c:v>
                </c:pt>
                <c:pt idx="5">
                  <c:v>14.7</c:v>
                </c:pt>
              </c:numCache>
            </c:numRef>
          </c:val>
          <c:smooth val="0"/>
          <c:extLst>
            <c:ext xmlns:c16="http://schemas.microsoft.com/office/drawing/2014/chart" uri="{C3380CC4-5D6E-409C-BE32-E72D297353CC}">
              <c16:uniqueId val="{00000001-6FE7-432D-884F-E3398610BFDC}"/>
            </c:ext>
          </c:extLst>
        </c:ser>
        <c:dLbls>
          <c:showLegendKey val="0"/>
          <c:showVal val="0"/>
          <c:showCatName val="0"/>
          <c:showSerName val="0"/>
          <c:showPercent val="0"/>
          <c:showBubbleSize val="0"/>
        </c:dLbls>
        <c:smooth val="0"/>
        <c:axId val="325918224"/>
        <c:axId val="325917568"/>
      </c:lineChart>
      <c:catAx>
        <c:axId val="32591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325917568"/>
        <c:crosses val="autoZero"/>
        <c:auto val="1"/>
        <c:lblAlgn val="ctr"/>
        <c:lblOffset val="100"/>
        <c:noMultiLvlLbl val="0"/>
      </c:catAx>
      <c:valAx>
        <c:axId val="32591756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Prevalance (%)</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325918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userShapes r:id="rId4"/>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Aboriginals!$A$47:$A$55</c:f>
              <c:strCache>
                <c:ptCount val="9"/>
                <c:pt idx="0">
                  <c:v>NSW</c:v>
                </c:pt>
                <c:pt idx="1">
                  <c:v>Vic</c:v>
                </c:pt>
                <c:pt idx="2">
                  <c:v>Qld</c:v>
                </c:pt>
                <c:pt idx="3">
                  <c:v>WA</c:v>
                </c:pt>
                <c:pt idx="4">
                  <c:v>SA</c:v>
                </c:pt>
                <c:pt idx="5">
                  <c:v>Tas</c:v>
                </c:pt>
                <c:pt idx="6">
                  <c:v>ACT</c:v>
                </c:pt>
                <c:pt idx="7">
                  <c:v>NT</c:v>
                </c:pt>
                <c:pt idx="8">
                  <c:v>AUSTRALIA</c:v>
                </c:pt>
              </c:strCache>
            </c:strRef>
          </c:cat>
          <c:val>
            <c:numRef>
              <c:f>Aboriginals!$B$47:$B$55</c:f>
              <c:numCache>
                <c:formatCode>General</c:formatCode>
                <c:ptCount val="9"/>
                <c:pt idx="0">
                  <c:v>39.9</c:v>
                </c:pt>
                <c:pt idx="1">
                  <c:v>36.799999999999997</c:v>
                </c:pt>
                <c:pt idx="2">
                  <c:v>45.4</c:v>
                </c:pt>
                <c:pt idx="3">
                  <c:v>45</c:v>
                </c:pt>
                <c:pt idx="4">
                  <c:v>39.700000000000003</c:v>
                </c:pt>
                <c:pt idx="5">
                  <c:v>40.299999999999997</c:v>
                </c:pt>
                <c:pt idx="6">
                  <c:v>24.5</c:v>
                </c:pt>
                <c:pt idx="7">
                  <c:v>58</c:v>
                </c:pt>
                <c:pt idx="8">
                  <c:v>43.4</c:v>
                </c:pt>
              </c:numCache>
            </c:numRef>
          </c:val>
          <c:extLst>
            <c:ext xmlns:c16="http://schemas.microsoft.com/office/drawing/2014/chart" uri="{C3380CC4-5D6E-409C-BE32-E72D297353CC}">
              <c16:uniqueId val="{00000000-D45E-44E7-B205-0FEA7D3E43F7}"/>
            </c:ext>
          </c:extLst>
        </c:ser>
        <c:dLbls>
          <c:showLegendKey val="0"/>
          <c:showVal val="0"/>
          <c:showCatName val="0"/>
          <c:showSerName val="0"/>
          <c:showPercent val="0"/>
          <c:showBubbleSize val="0"/>
        </c:dLbls>
        <c:gapWidth val="219"/>
        <c:overlap val="-27"/>
        <c:axId val="449444472"/>
        <c:axId val="443887560"/>
      </c:barChart>
      <c:catAx>
        <c:axId val="449444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43887560"/>
        <c:crosses val="autoZero"/>
        <c:auto val="1"/>
        <c:lblAlgn val="ctr"/>
        <c:lblOffset val="100"/>
        <c:noMultiLvlLbl val="0"/>
      </c:catAx>
      <c:valAx>
        <c:axId val="443887560"/>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Prevalence (%)</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494444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Scripts_Y!$B$1</c:f>
              <c:strCache>
                <c:ptCount val="1"/>
                <c:pt idx="0">
                  <c:v>Bupropion</c:v>
                </c:pt>
              </c:strCache>
            </c:strRef>
          </c:tx>
          <c:spPr>
            <a:solidFill>
              <a:schemeClr val="accent2"/>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Scripts_Y!$B$2:$B$11</c:f>
              <c:numCache>
                <c:formatCode>General</c:formatCode>
                <c:ptCount val="10"/>
                <c:pt idx="0">
                  <c:v>17576</c:v>
                </c:pt>
                <c:pt idx="1">
                  <c:v>15443</c:v>
                </c:pt>
                <c:pt idx="2">
                  <c:v>15483</c:v>
                </c:pt>
                <c:pt idx="3">
                  <c:v>15781</c:v>
                </c:pt>
                <c:pt idx="4">
                  <c:v>16054</c:v>
                </c:pt>
                <c:pt idx="5">
                  <c:v>17238</c:v>
                </c:pt>
                <c:pt idx="6">
                  <c:v>19609</c:v>
                </c:pt>
                <c:pt idx="7">
                  <c:v>21275</c:v>
                </c:pt>
                <c:pt idx="8">
                  <c:v>22336</c:v>
                </c:pt>
                <c:pt idx="9">
                  <c:v>5267</c:v>
                </c:pt>
              </c:numCache>
            </c:numRef>
          </c:val>
          <c:extLst>
            <c:ext xmlns:c16="http://schemas.microsoft.com/office/drawing/2014/chart" uri="{C3380CC4-5D6E-409C-BE32-E72D297353CC}">
              <c16:uniqueId val="{00000000-A0BC-459E-BA32-FD7261B7AEB7}"/>
            </c:ext>
          </c:extLst>
        </c:ser>
        <c:ser>
          <c:idx val="2"/>
          <c:order val="1"/>
          <c:tx>
            <c:strRef>
              <c:f>Scripts_Y!$C$1</c:f>
              <c:strCache>
                <c:ptCount val="1"/>
                <c:pt idx="0">
                  <c:v>Nicotine</c:v>
                </c:pt>
              </c:strCache>
            </c:strRef>
          </c:tx>
          <c:spPr>
            <a:solidFill>
              <a:schemeClr val="accent3"/>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Scripts_Y!$C$2:$C$11</c:f>
              <c:numCache>
                <c:formatCode>General</c:formatCode>
                <c:ptCount val="10"/>
                <c:pt idx="0">
                  <c:v>145578</c:v>
                </c:pt>
                <c:pt idx="1">
                  <c:v>179991</c:v>
                </c:pt>
                <c:pt idx="2">
                  <c:v>135172</c:v>
                </c:pt>
                <c:pt idx="3">
                  <c:v>127592</c:v>
                </c:pt>
                <c:pt idx="4">
                  <c:v>140104</c:v>
                </c:pt>
                <c:pt idx="5">
                  <c:v>167537</c:v>
                </c:pt>
                <c:pt idx="6">
                  <c:v>189263</c:v>
                </c:pt>
                <c:pt idx="7">
                  <c:v>210615</c:v>
                </c:pt>
                <c:pt idx="8">
                  <c:v>224576</c:v>
                </c:pt>
                <c:pt idx="9">
                  <c:v>233544</c:v>
                </c:pt>
              </c:numCache>
            </c:numRef>
          </c:val>
          <c:extLst>
            <c:ext xmlns:c16="http://schemas.microsoft.com/office/drawing/2014/chart" uri="{C3380CC4-5D6E-409C-BE32-E72D297353CC}">
              <c16:uniqueId val="{00000001-A0BC-459E-BA32-FD7261B7AEB7}"/>
            </c:ext>
          </c:extLst>
        </c:ser>
        <c:ser>
          <c:idx val="3"/>
          <c:order val="2"/>
          <c:tx>
            <c:strRef>
              <c:f>Scripts_Y!$D$1</c:f>
              <c:strCache>
                <c:ptCount val="1"/>
                <c:pt idx="0">
                  <c:v>Varenicline</c:v>
                </c:pt>
              </c:strCache>
            </c:strRef>
          </c:tx>
          <c:spPr>
            <a:solidFill>
              <a:schemeClr val="accent4"/>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Scripts_Y!$D$2:$D$11</c:f>
              <c:numCache>
                <c:formatCode>General</c:formatCode>
                <c:ptCount val="10"/>
                <c:pt idx="0">
                  <c:v>473928</c:v>
                </c:pt>
                <c:pt idx="1">
                  <c:v>368359</c:v>
                </c:pt>
                <c:pt idx="2">
                  <c:v>361999</c:v>
                </c:pt>
                <c:pt idx="3">
                  <c:v>333750</c:v>
                </c:pt>
                <c:pt idx="4">
                  <c:v>335594</c:v>
                </c:pt>
                <c:pt idx="5">
                  <c:v>304563</c:v>
                </c:pt>
                <c:pt idx="6">
                  <c:v>286910</c:v>
                </c:pt>
                <c:pt idx="7">
                  <c:v>306921</c:v>
                </c:pt>
                <c:pt idx="8">
                  <c:v>303191</c:v>
                </c:pt>
                <c:pt idx="9">
                  <c:v>303681</c:v>
                </c:pt>
              </c:numCache>
            </c:numRef>
          </c:val>
          <c:extLst>
            <c:ext xmlns:c16="http://schemas.microsoft.com/office/drawing/2014/chart" uri="{C3380CC4-5D6E-409C-BE32-E72D297353CC}">
              <c16:uniqueId val="{00000002-A0BC-459E-BA32-FD7261B7AEB7}"/>
            </c:ext>
          </c:extLst>
        </c:ser>
        <c:dLbls>
          <c:showLegendKey val="0"/>
          <c:showVal val="0"/>
          <c:showCatName val="0"/>
          <c:showSerName val="0"/>
          <c:showPercent val="0"/>
          <c:showBubbleSize val="0"/>
        </c:dLbls>
        <c:gapWidth val="150"/>
        <c:overlap val="100"/>
        <c:axId val="750957896"/>
        <c:axId val="750958224"/>
      </c:barChart>
      <c:catAx>
        <c:axId val="75095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50958224"/>
        <c:crosses val="autoZero"/>
        <c:auto val="1"/>
        <c:lblAlgn val="ctr"/>
        <c:lblOffset val="100"/>
        <c:noMultiLvlLbl val="0"/>
      </c:catAx>
      <c:valAx>
        <c:axId val="750958224"/>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prescriptions</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509578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92825896762904"/>
          <c:y val="4.6296296296296294E-2"/>
          <c:w val="0.84396062992125986"/>
          <c:h val="0.8416746864975212"/>
        </c:manualLayout>
      </c:layout>
      <c:barChart>
        <c:barDir val="col"/>
        <c:grouping val="clustered"/>
        <c:varyColors val="0"/>
        <c:ser>
          <c:idx val="0"/>
          <c:order val="0"/>
          <c:tx>
            <c:strRef>
              <c:f>Pregnancy!$A$8</c:f>
              <c:strCache>
                <c:ptCount val="1"/>
                <c:pt idx="0">
                  <c:v>Smoking in the first 20 weeks of all women who gave birth</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Pregnancy!$B$7:$I$7</c:f>
              <c:numCache>
                <c:formatCode>General</c:formatCode>
                <c:ptCount val="8"/>
                <c:pt idx="0">
                  <c:v>2011</c:v>
                </c:pt>
                <c:pt idx="1">
                  <c:v>2012</c:v>
                </c:pt>
                <c:pt idx="2">
                  <c:v>2013</c:v>
                </c:pt>
                <c:pt idx="3">
                  <c:v>2014</c:v>
                </c:pt>
                <c:pt idx="4">
                  <c:v>2015</c:v>
                </c:pt>
                <c:pt idx="5">
                  <c:v>2016</c:v>
                </c:pt>
                <c:pt idx="6">
                  <c:v>2017</c:v>
                </c:pt>
                <c:pt idx="7">
                  <c:v>2018</c:v>
                </c:pt>
              </c:numCache>
            </c:numRef>
          </c:cat>
          <c:val>
            <c:numRef>
              <c:f>Pregnancy!$B$8:$I$8</c:f>
              <c:numCache>
                <c:formatCode>General</c:formatCode>
                <c:ptCount val="8"/>
                <c:pt idx="0">
                  <c:v>12.9</c:v>
                </c:pt>
                <c:pt idx="1">
                  <c:v>12.2</c:v>
                </c:pt>
                <c:pt idx="2">
                  <c:v>11.4</c:v>
                </c:pt>
                <c:pt idx="3">
                  <c:v>10.7</c:v>
                </c:pt>
                <c:pt idx="4">
                  <c:v>10.199999999999999</c:v>
                </c:pt>
                <c:pt idx="5">
                  <c:v>9.6</c:v>
                </c:pt>
                <c:pt idx="6">
                  <c:v>9.9</c:v>
                </c:pt>
                <c:pt idx="7">
                  <c:v>9.1999999999999993</c:v>
                </c:pt>
              </c:numCache>
            </c:numRef>
          </c:val>
          <c:extLst>
            <c:ext xmlns:c16="http://schemas.microsoft.com/office/drawing/2014/chart" uri="{C3380CC4-5D6E-409C-BE32-E72D297353CC}">
              <c16:uniqueId val="{00000000-8242-4C4F-93A8-796001327656}"/>
            </c:ext>
          </c:extLst>
        </c:ser>
        <c:dLbls>
          <c:showLegendKey val="0"/>
          <c:showVal val="0"/>
          <c:showCatName val="0"/>
          <c:showSerName val="0"/>
          <c:showPercent val="0"/>
          <c:showBubbleSize val="0"/>
        </c:dLbls>
        <c:gapWidth val="219"/>
        <c:overlap val="-27"/>
        <c:axId val="537845504"/>
        <c:axId val="537856656"/>
      </c:barChart>
      <c:catAx>
        <c:axId val="53784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37856656"/>
        <c:crosses val="autoZero"/>
        <c:auto val="1"/>
        <c:lblAlgn val="ctr"/>
        <c:lblOffset val="100"/>
        <c:noMultiLvlLbl val="0"/>
      </c:catAx>
      <c:valAx>
        <c:axId val="537856656"/>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 of women who gave birth</a:t>
                </a:r>
              </a:p>
            </c:rich>
          </c:tx>
          <c:layout>
            <c:manualLayout>
              <c:xMode val="edge"/>
              <c:yMode val="edge"/>
              <c:x val="2.5000000000000001E-2"/>
              <c:y val="0.20916666666666667"/>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378455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Pregnancy!$I$14:$I$22</c:f>
              <c:strCache>
                <c:ptCount val="9"/>
                <c:pt idx="0">
                  <c:v>NSW</c:v>
                </c:pt>
                <c:pt idx="1">
                  <c:v>Vic</c:v>
                </c:pt>
                <c:pt idx="2">
                  <c:v>Qld</c:v>
                </c:pt>
                <c:pt idx="3">
                  <c:v>WA</c:v>
                </c:pt>
                <c:pt idx="4">
                  <c:v>SA</c:v>
                </c:pt>
                <c:pt idx="5">
                  <c:v>Tas</c:v>
                </c:pt>
                <c:pt idx="6">
                  <c:v>ACT</c:v>
                </c:pt>
                <c:pt idx="7">
                  <c:v>NT</c:v>
                </c:pt>
                <c:pt idx="8">
                  <c:v>AUSTRALIA</c:v>
                </c:pt>
              </c:strCache>
            </c:strRef>
          </c:cat>
          <c:val>
            <c:numRef>
              <c:f>Pregnancy!$J$14:$J$22</c:f>
              <c:numCache>
                <c:formatCode>#,##0.0</c:formatCode>
                <c:ptCount val="9"/>
                <c:pt idx="0">
                  <c:v>8.6999999999999993</c:v>
                </c:pt>
                <c:pt idx="1">
                  <c:v>7.9</c:v>
                </c:pt>
                <c:pt idx="2">
                  <c:v>11.2</c:v>
                </c:pt>
                <c:pt idx="3">
                  <c:v>7.9</c:v>
                </c:pt>
                <c:pt idx="4">
                  <c:v>10.9</c:v>
                </c:pt>
                <c:pt idx="5">
                  <c:v>14</c:v>
                </c:pt>
                <c:pt idx="6">
                  <c:v>5.7</c:v>
                </c:pt>
                <c:pt idx="7">
                  <c:v>20.8</c:v>
                </c:pt>
                <c:pt idx="8">
                  <c:v>9.1999999999999993</c:v>
                </c:pt>
              </c:numCache>
            </c:numRef>
          </c:val>
          <c:extLst>
            <c:ext xmlns:c16="http://schemas.microsoft.com/office/drawing/2014/chart" uri="{C3380CC4-5D6E-409C-BE32-E72D297353CC}">
              <c16:uniqueId val="{00000000-5A48-4891-AC1A-159835BBF734}"/>
            </c:ext>
          </c:extLst>
        </c:ser>
        <c:dLbls>
          <c:showLegendKey val="0"/>
          <c:showVal val="0"/>
          <c:showCatName val="0"/>
          <c:showSerName val="0"/>
          <c:showPercent val="0"/>
          <c:showBubbleSize val="0"/>
        </c:dLbls>
        <c:gapWidth val="219"/>
        <c:overlap val="-27"/>
        <c:axId val="514238160"/>
        <c:axId val="517445600"/>
      </c:barChart>
      <c:catAx>
        <c:axId val="51423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17445600"/>
        <c:crosses val="autoZero"/>
        <c:auto val="1"/>
        <c:lblAlgn val="ctr"/>
        <c:lblOffset val="100"/>
        <c:noMultiLvlLbl val="0"/>
      </c:catAx>
      <c:valAx>
        <c:axId val="517445600"/>
        <c:scaling>
          <c:orientation val="minMax"/>
          <c:max val="25"/>
          <c:min val="0"/>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 </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142381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Prisoners!$A$6</c:f>
              <c:strCache>
                <c:ptCount val="1"/>
                <c:pt idx="0">
                  <c:v>Non-Indigenous</c:v>
                </c:pt>
              </c:strCache>
            </c:strRef>
          </c:tx>
          <c:spPr>
            <a:solidFill>
              <a:schemeClr val="accent1"/>
            </a:solidFill>
            <a:ln>
              <a:noFill/>
            </a:ln>
            <a:effectLst/>
          </c:spPr>
          <c:invertIfNegative val="0"/>
          <c:cat>
            <c:strRef>
              <c:f>Prisoners!$B$5:$D$5</c:f>
              <c:strCache>
                <c:ptCount val="3"/>
                <c:pt idx="0">
                  <c:v>aged 18-24</c:v>
                </c:pt>
                <c:pt idx="1">
                  <c:v>aged 25-34</c:v>
                </c:pt>
                <c:pt idx="2">
                  <c:v>aged 35-44</c:v>
                </c:pt>
              </c:strCache>
            </c:strRef>
          </c:cat>
          <c:val>
            <c:numRef>
              <c:f>Prisoners!$B$6:$D$6</c:f>
              <c:numCache>
                <c:formatCode>General</c:formatCode>
                <c:ptCount val="3"/>
                <c:pt idx="0">
                  <c:v>80.3</c:v>
                </c:pt>
                <c:pt idx="1">
                  <c:v>74.5</c:v>
                </c:pt>
                <c:pt idx="2">
                  <c:v>77.099999999999994</c:v>
                </c:pt>
              </c:numCache>
            </c:numRef>
          </c:val>
          <c:extLst>
            <c:ext xmlns:c16="http://schemas.microsoft.com/office/drawing/2014/chart" uri="{C3380CC4-5D6E-409C-BE32-E72D297353CC}">
              <c16:uniqueId val="{00000000-58D1-409E-8D22-E2BEAE6F5184}"/>
            </c:ext>
          </c:extLst>
        </c:ser>
        <c:ser>
          <c:idx val="1"/>
          <c:order val="1"/>
          <c:tx>
            <c:strRef>
              <c:f>Prisoners!$A$7</c:f>
              <c:strCache>
                <c:ptCount val="1"/>
                <c:pt idx="0">
                  <c:v>Indigenous</c:v>
                </c:pt>
              </c:strCache>
            </c:strRef>
          </c:tx>
          <c:spPr>
            <a:solidFill>
              <a:schemeClr val="accent2"/>
            </a:solidFill>
            <a:ln>
              <a:noFill/>
            </a:ln>
            <a:effectLst/>
          </c:spPr>
          <c:invertIfNegative val="0"/>
          <c:cat>
            <c:strRef>
              <c:f>Prisoners!$B$5:$D$5</c:f>
              <c:strCache>
                <c:ptCount val="3"/>
                <c:pt idx="0">
                  <c:v>aged 18-24</c:v>
                </c:pt>
                <c:pt idx="1">
                  <c:v>aged 25-34</c:v>
                </c:pt>
                <c:pt idx="2">
                  <c:v>aged 35-44</c:v>
                </c:pt>
              </c:strCache>
            </c:strRef>
          </c:cat>
          <c:val>
            <c:numRef>
              <c:f>Prisoners!$B$7:$D$7</c:f>
              <c:numCache>
                <c:formatCode>General</c:formatCode>
                <c:ptCount val="3"/>
                <c:pt idx="0">
                  <c:v>80</c:v>
                </c:pt>
                <c:pt idx="1">
                  <c:v>78.5</c:v>
                </c:pt>
                <c:pt idx="2">
                  <c:v>84</c:v>
                </c:pt>
              </c:numCache>
            </c:numRef>
          </c:val>
          <c:extLst>
            <c:ext xmlns:c16="http://schemas.microsoft.com/office/drawing/2014/chart" uri="{C3380CC4-5D6E-409C-BE32-E72D297353CC}">
              <c16:uniqueId val="{00000001-58D1-409E-8D22-E2BEAE6F5184}"/>
            </c:ext>
          </c:extLst>
        </c:ser>
        <c:dLbls>
          <c:showLegendKey val="0"/>
          <c:showVal val="0"/>
          <c:showCatName val="0"/>
          <c:showSerName val="0"/>
          <c:showPercent val="0"/>
          <c:showBubbleSize val="0"/>
        </c:dLbls>
        <c:gapWidth val="219"/>
        <c:overlap val="-27"/>
        <c:axId val="542658376"/>
        <c:axId val="542658704"/>
      </c:barChart>
      <c:catAx>
        <c:axId val="542658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2658704"/>
        <c:crosses val="autoZero"/>
        <c:auto val="1"/>
        <c:lblAlgn val="ctr"/>
        <c:lblOffset val="100"/>
        <c:noMultiLvlLbl val="0"/>
      </c:catAx>
      <c:valAx>
        <c:axId val="542658704"/>
        <c:scaling>
          <c:orientation val="minMax"/>
          <c:max val="100"/>
          <c:min val="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Percent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2658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98814920862165"/>
          <c:y val="0.17531329710546747"/>
          <c:w val="0.84923407301360054"/>
          <c:h val="0.68657023107296278"/>
        </c:manualLayout>
      </c:layout>
      <c:barChart>
        <c:barDir val="col"/>
        <c:grouping val="clustered"/>
        <c:varyColors val="0"/>
        <c:ser>
          <c:idx val="0"/>
          <c:order val="0"/>
          <c:tx>
            <c:strRef>
              <c:f>'Mental Illness'!$A$18</c:f>
              <c:strCache>
                <c:ptCount val="1"/>
                <c:pt idx="0">
                  <c:v>People with self-reported mental illness</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'Mental Illness'!$B$17:$E$17</c:f>
              <c:numCache>
                <c:formatCode>General</c:formatCode>
                <c:ptCount val="4"/>
                <c:pt idx="0">
                  <c:v>2010</c:v>
                </c:pt>
                <c:pt idx="1">
                  <c:v>2013</c:v>
                </c:pt>
                <c:pt idx="2">
                  <c:v>2016</c:v>
                </c:pt>
                <c:pt idx="3">
                  <c:v>2019</c:v>
                </c:pt>
              </c:numCache>
            </c:numRef>
          </c:cat>
          <c:val>
            <c:numRef>
              <c:f>'Mental Illness'!$B$18:$E$18</c:f>
              <c:numCache>
                <c:formatCode>General</c:formatCode>
                <c:ptCount val="4"/>
                <c:pt idx="0">
                  <c:v>30.5</c:v>
                </c:pt>
                <c:pt idx="1">
                  <c:v>24.5</c:v>
                </c:pt>
                <c:pt idx="2">
                  <c:v>27.7</c:v>
                </c:pt>
                <c:pt idx="3">
                  <c:v>24.2</c:v>
                </c:pt>
              </c:numCache>
            </c:numRef>
          </c:val>
          <c:extLst>
            <c:ext xmlns:c16="http://schemas.microsoft.com/office/drawing/2014/chart" uri="{C3380CC4-5D6E-409C-BE32-E72D297353CC}">
              <c16:uniqueId val="{00000000-FBD1-4B23-8214-8DAADB87CE71}"/>
            </c:ext>
          </c:extLst>
        </c:ser>
        <c:ser>
          <c:idx val="1"/>
          <c:order val="1"/>
          <c:tx>
            <c:strRef>
              <c:f>'Mental Illness'!$A$19</c:f>
              <c:strCache>
                <c:ptCount val="1"/>
                <c:pt idx="0">
                  <c:v>People without a mental illness</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'Mental Illness'!$B$17:$E$17</c:f>
              <c:numCache>
                <c:formatCode>General</c:formatCode>
                <c:ptCount val="4"/>
                <c:pt idx="0">
                  <c:v>2010</c:v>
                </c:pt>
                <c:pt idx="1">
                  <c:v>2013</c:v>
                </c:pt>
                <c:pt idx="2">
                  <c:v>2016</c:v>
                </c:pt>
                <c:pt idx="3">
                  <c:v>2019</c:v>
                </c:pt>
              </c:numCache>
            </c:numRef>
          </c:cat>
          <c:val>
            <c:numRef>
              <c:f>'Mental Illness'!$B$19:$E$19</c:f>
              <c:numCache>
                <c:formatCode>General</c:formatCode>
                <c:ptCount val="4"/>
                <c:pt idx="0">
                  <c:v>17.3</c:v>
                </c:pt>
                <c:pt idx="1">
                  <c:v>15.2</c:v>
                </c:pt>
                <c:pt idx="2">
                  <c:v>13.6</c:v>
                </c:pt>
                <c:pt idx="3">
                  <c:v>12.9</c:v>
                </c:pt>
              </c:numCache>
            </c:numRef>
          </c:val>
          <c:extLst>
            <c:ext xmlns:c16="http://schemas.microsoft.com/office/drawing/2014/chart" uri="{C3380CC4-5D6E-409C-BE32-E72D297353CC}">
              <c16:uniqueId val="{00000001-FBD1-4B23-8214-8DAADB87CE71}"/>
            </c:ext>
          </c:extLst>
        </c:ser>
        <c:ser>
          <c:idx val="2"/>
          <c:order val="2"/>
          <c:tx>
            <c:strRef>
              <c:f>'Mental Illness'!$A$20</c:f>
              <c:strCache>
                <c:ptCount val="1"/>
                <c:pt idx="0">
                  <c:v>Australia</c:v>
                </c:pt>
              </c:strCache>
            </c:strRef>
          </c:tx>
          <c:spPr>
            <a:solidFill>
              <a:schemeClr val="tx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'Mental Illness'!$B$17:$E$17</c:f>
              <c:numCache>
                <c:formatCode>General</c:formatCode>
                <c:ptCount val="4"/>
                <c:pt idx="0">
                  <c:v>2010</c:v>
                </c:pt>
                <c:pt idx="1">
                  <c:v>2013</c:v>
                </c:pt>
                <c:pt idx="2">
                  <c:v>2016</c:v>
                </c:pt>
                <c:pt idx="3">
                  <c:v>2019</c:v>
                </c:pt>
              </c:numCache>
            </c:numRef>
          </c:cat>
          <c:val>
            <c:numRef>
              <c:f>'Mental Illness'!$B$20:$E$20</c:f>
              <c:numCache>
                <c:formatCode>General</c:formatCode>
                <c:ptCount val="4"/>
                <c:pt idx="0">
                  <c:v>18.899999999999999</c:v>
                </c:pt>
                <c:pt idx="1">
                  <c:v>16.399999999999999</c:v>
                </c:pt>
                <c:pt idx="2">
                  <c:v>15.7</c:v>
                </c:pt>
                <c:pt idx="3">
                  <c:v>14.7</c:v>
                </c:pt>
              </c:numCache>
            </c:numRef>
          </c:val>
          <c:extLst>
            <c:ext xmlns:c16="http://schemas.microsoft.com/office/drawing/2014/chart" uri="{C3380CC4-5D6E-409C-BE32-E72D297353CC}">
              <c16:uniqueId val="{00000002-FBD1-4B23-8214-8DAADB87CE71}"/>
            </c:ext>
          </c:extLst>
        </c:ser>
        <c:dLbls>
          <c:showLegendKey val="0"/>
          <c:showVal val="0"/>
          <c:showCatName val="0"/>
          <c:showSerName val="0"/>
          <c:showPercent val="0"/>
          <c:showBubbleSize val="0"/>
        </c:dLbls>
        <c:gapWidth val="219"/>
        <c:overlap val="-27"/>
        <c:axId val="578340160"/>
        <c:axId val="578340488"/>
      </c:barChart>
      <c:catAx>
        <c:axId val="57834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8340488"/>
        <c:crosses val="autoZero"/>
        <c:auto val="1"/>
        <c:lblAlgn val="ctr"/>
        <c:lblOffset val="100"/>
        <c:noMultiLvlLbl val="0"/>
      </c:catAx>
      <c:valAx>
        <c:axId val="57834048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834016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'Mental Illness'!$B$5</c:f>
              <c:strCache>
                <c:ptCount val="1"/>
                <c:pt idx="0">
                  <c:v>Percentage daily smokers</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'Mental Illness'!$A$6:$A$14</c:f>
              <c:strCache>
                <c:ptCount val="9"/>
                <c:pt idx="0">
                  <c:v>Harmful use/dependence on drugs</c:v>
                </c:pt>
                <c:pt idx="1">
                  <c:v>Harmful use/dependence on alcohol</c:v>
                </c:pt>
                <c:pt idx="2">
                  <c:v>Schizophrenia</c:v>
                </c:pt>
                <c:pt idx="3">
                  <c:v>Bipolar disorders</c:v>
                </c:pt>
                <c:pt idx="4">
                  <c:v>Anxiety disorders</c:v>
                </c:pt>
                <c:pt idx="5">
                  <c:v>PTSD</c:v>
                </c:pt>
                <c:pt idx="6">
                  <c:v>Panic disorders</c:v>
                </c:pt>
                <c:pt idx="7">
                  <c:v>Depression</c:v>
                </c:pt>
                <c:pt idx="8">
                  <c:v>General population</c:v>
                </c:pt>
              </c:strCache>
            </c:strRef>
          </c:cat>
          <c:val>
            <c:numRef>
              <c:f>'Mental Illness'!$B$6:$B$14</c:f>
              <c:numCache>
                <c:formatCode>General</c:formatCode>
                <c:ptCount val="9"/>
                <c:pt idx="0">
                  <c:v>73.900000000000006</c:v>
                </c:pt>
                <c:pt idx="1">
                  <c:v>50.1</c:v>
                </c:pt>
                <c:pt idx="2">
                  <c:v>47.4</c:v>
                </c:pt>
                <c:pt idx="3">
                  <c:v>39</c:v>
                </c:pt>
                <c:pt idx="4">
                  <c:v>27</c:v>
                </c:pt>
                <c:pt idx="5">
                  <c:v>31.3</c:v>
                </c:pt>
                <c:pt idx="6">
                  <c:v>38.1</c:v>
                </c:pt>
                <c:pt idx="7">
                  <c:v>25</c:v>
                </c:pt>
                <c:pt idx="8">
                  <c:v>14.5</c:v>
                </c:pt>
              </c:numCache>
            </c:numRef>
          </c:val>
          <c:extLst>
            <c:ext xmlns:c16="http://schemas.microsoft.com/office/drawing/2014/chart" uri="{C3380CC4-5D6E-409C-BE32-E72D297353CC}">
              <c16:uniqueId val="{00000000-AB5B-4C5E-9EC0-B4A1DC84ACBB}"/>
            </c:ext>
          </c:extLst>
        </c:ser>
        <c:dLbls>
          <c:showLegendKey val="0"/>
          <c:showVal val="0"/>
          <c:showCatName val="0"/>
          <c:showSerName val="0"/>
          <c:showPercent val="0"/>
          <c:showBubbleSize val="0"/>
        </c:dLbls>
        <c:gapWidth val="219"/>
        <c:overlap val="-27"/>
        <c:axId val="547340560"/>
        <c:axId val="547340888"/>
      </c:barChart>
      <c:catAx>
        <c:axId val="54734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47340888"/>
        <c:crosses val="autoZero"/>
        <c:auto val="1"/>
        <c:lblAlgn val="ctr"/>
        <c:lblOffset val="100"/>
        <c:noMultiLvlLbl val="0"/>
      </c:catAx>
      <c:valAx>
        <c:axId val="54734088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473405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Smokers!$B$2</c:f>
              <c:strCache>
                <c:ptCount val="1"/>
                <c:pt idx="0">
                  <c:v>Current smokers in Australia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Smokers!$A$3:$A$6</c:f>
              <c:numCache>
                <c:formatCode>General</c:formatCode>
                <c:ptCount val="4"/>
                <c:pt idx="0">
                  <c:v>2010</c:v>
                </c:pt>
                <c:pt idx="1">
                  <c:v>2013</c:v>
                </c:pt>
                <c:pt idx="2">
                  <c:v>2016</c:v>
                </c:pt>
                <c:pt idx="3">
                  <c:v>2019</c:v>
                </c:pt>
              </c:numCache>
            </c:numRef>
          </c:cat>
          <c:val>
            <c:numRef>
              <c:f>Smokers!$B$3:$B$6</c:f>
              <c:numCache>
                <c:formatCode>#,##0</c:formatCode>
                <c:ptCount val="4"/>
                <c:pt idx="0">
                  <c:v>3300000</c:v>
                </c:pt>
                <c:pt idx="1">
                  <c:v>3000000</c:v>
                </c:pt>
                <c:pt idx="2">
                  <c:v>3000000</c:v>
                </c:pt>
                <c:pt idx="3">
                  <c:v>2900000</c:v>
                </c:pt>
              </c:numCache>
            </c:numRef>
          </c:val>
          <c:extLst>
            <c:ext xmlns:c16="http://schemas.microsoft.com/office/drawing/2014/chart" uri="{C3380CC4-5D6E-409C-BE32-E72D297353CC}">
              <c16:uniqueId val="{00000000-04C6-4D33-9B0B-477CD1F92E28}"/>
            </c:ext>
          </c:extLst>
        </c:ser>
        <c:dLbls>
          <c:showLegendKey val="0"/>
          <c:showVal val="0"/>
          <c:showCatName val="0"/>
          <c:showSerName val="0"/>
          <c:showPercent val="0"/>
          <c:showBubbleSize val="0"/>
        </c:dLbls>
        <c:gapWidth val="219"/>
        <c:overlap val="-27"/>
        <c:axId val="762391496"/>
        <c:axId val="762391824"/>
      </c:barChart>
      <c:lineChart>
        <c:grouping val="standard"/>
        <c:varyColors val="0"/>
        <c:ser>
          <c:idx val="2"/>
          <c:order val="1"/>
          <c:tx>
            <c:strRef>
              <c:f>Smokers!$C$2</c:f>
              <c:strCache>
                <c:ptCount val="1"/>
                <c:pt idx="0">
                  <c:v>Prevalent users of PBS subsidised medicines for smoking cessation</c:v>
                </c:pt>
              </c:strCache>
            </c:strRef>
          </c:tx>
          <c:spPr>
            <a:ln w="28575" cap="rnd">
              <a:solidFill>
                <a:schemeClr val="tx1"/>
              </a:solidFill>
              <a:round/>
            </a:ln>
            <a:effectLst/>
          </c:spPr>
          <c:marker>
            <c:symbol val="none"/>
          </c:marker>
          <c:cat>
            <c:numRef>
              <c:f>Smokers!$A$3:$A$6</c:f>
              <c:numCache>
                <c:formatCode>General</c:formatCode>
                <c:ptCount val="4"/>
                <c:pt idx="0">
                  <c:v>2010</c:v>
                </c:pt>
                <c:pt idx="1">
                  <c:v>2013</c:v>
                </c:pt>
                <c:pt idx="2">
                  <c:v>2016</c:v>
                </c:pt>
                <c:pt idx="3">
                  <c:v>2019</c:v>
                </c:pt>
              </c:numCache>
            </c:numRef>
          </c:cat>
          <c:val>
            <c:numRef>
              <c:f>Smokers!$C$3:$C$6</c:f>
              <c:numCache>
                <c:formatCode>General</c:formatCode>
                <c:ptCount val="4"/>
                <c:pt idx="0">
                  <c:v>412912</c:v>
                </c:pt>
                <c:pt idx="1">
                  <c:v>302148</c:v>
                </c:pt>
                <c:pt idx="2">
                  <c:v>267985</c:v>
                </c:pt>
                <c:pt idx="3">
                  <c:v>267665</c:v>
                </c:pt>
              </c:numCache>
            </c:numRef>
          </c:val>
          <c:smooth val="0"/>
          <c:extLst>
            <c:ext xmlns:c16="http://schemas.microsoft.com/office/drawing/2014/chart" uri="{C3380CC4-5D6E-409C-BE32-E72D297353CC}">
              <c16:uniqueId val="{00000001-04C6-4D33-9B0B-477CD1F92E28}"/>
            </c:ext>
          </c:extLst>
        </c:ser>
        <c:dLbls>
          <c:showLegendKey val="0"/>
          <c:showVal val="0"/>
          <c:showCatName val="0"/>
          <c:showSerName val="0"/>
          <c:showPercent val="0"/>
          <c:showBubbleSize val="0"/>
        </c:dLbls>
        <c:marker val="1"/>
        <c:smooth val="0"/>
        <c:axId val="762391496"/>
        <c:axId val="762391824"/>
      </c:lineChart>
      <c:catAx>
        <c:axId val="76239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62391824"/>
        <c:crosses val="autoZero"/>
        <c:auto val="1"/>
        <c:lblAlgn val="ctr"/>
        <c:lblOffset val="100"/>
        <c:noMultiLvlLbl val="0"/>
      </c:catAx>
      <c:valAx>
        <c:axId val="76239182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Number of people, aged 18+</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62391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Smokers!$I$2</c:f>
              <c:strCache>
                <c:ptCount val="1"/>
                <c:pt idx="0">
                  <c:v>Current smokers in Australia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Smokers!$A$3:$A$6</c:f>
              <c:numCache>
                <c:formatCode>General</c:formatCode>
                <c:ptCount val="4"/>
                <c:pt idx="0">
                  <c:v>2010</c:v>
                </c:pt>
                <c:pt idx="1">
                  <c:v>2013</c:v>
                </c:pt>
                <c:pt idx="2">
                  <c:v>2016</c:v>
                </c:pt>
                <c:pt idx="3">
                  <c:v>2019</c:v>
                </c:pt>
              </c:numCache>
            </c:numRef>
          </c:cat>
          <c:val>
            <c:numRef>
              <c:f>Smokers!$I$3:$I$6</c:f>
              <c:numCache>
                <c:formatCode>General</c:formatCode>
                <c:ptCount val="4"/>
                <c:pt idx="0">
                  <c:v>189</c:v>
                </c:pt>
                <c:pt idx="1">
                  <c:v>164</c:v>
                </c:pt>
                <c:pt idx="2">
                  <c:v>157</c:v>
                </c:pt>
                <c:pt idx="3">
                  <c:v>147</c:v>
                </c:pt>
              </c:numCache>
            </c:numRef>
          </c:val>
          <c:extLst>
            <c:ext xmlns:c16="http://schemas.microsoft.com/office/drawing/2014/chart" uri="{C3380CC4-5D6E-409C-BE32-E72D297353CC}">
              <c16:uniqueId val="{00000000-4DAB-466E-B03A-C18F56AED73E}"/>
            </c:ext>
          </c:extLst>
        </c:ser>
        <c:dLbls>
          <c:showLegendKey val="0"/>
          <c:showVal val="0"/>
          <c:showCatName val="0"/>
          <c:showSerName val="0"/>
          <c:showPercent val="0"/>
          <c:showBubbleSize val="0"/>
        </c:dLbls>
        <c:gapWidth val="219"/>
        <c:axId val="649648312"/>
        <c:axId val="649647984"/>
      </c:barChart>
      <c:lineChart>
        <c:grouping val="standard"/>
        <c:varyColors val="0"/>
        <c:ser>
          <c:idx val="2"/>
          <c:order val="1"/>
          <c:tx>
            <c:strRef>
              <c:f>Smokers!$J$2</c:f>
              <c:strCache>
                <c:ptCount val="1"/>
                <c:pt idx="0">
                  <c:v>Prevalent users of PBS subsided medicines for smoking cessation</c:v>
                </c:pt>
              </c:strCache>
            </c:strRef>
          </c:tx>
          <c:spPr>
            <a:ln w="28575" cap="rnd">
              <a:solidFill>
                <a:schemeClr val="tx1"/>
              </a:solidFill>
              <a:round/>
            </a:ln>
            <a:effectLst/>
          </c:spPr>
          <c:marker>
            <c:symbol val="none"/>
          </c:marker>
          <c:dLbls>
            <c:dLbl>
              <c:idx val="0"/>
              <c:layout>
                <c:manualLayout>
                  <c:x val="-2.5000000000000001E-2"/>
                  <c:y val="-3.70370370370371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DAB-466E-B03A-C18F56AED73E}"/>
                </c:ext>
              </c:extLst>
            </c:dLbl>
            <c:dLbl>
              <c:idx val="1"/>
              <c:layout>
                <c:manualLayout>
                  <c:x val="-3.3333333333333333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DAB-466E-B03A-C18F56AED73E}"/>
                </c:ext>
              </c:extLst>
            </c:dLbl>
            <c:dLbl>
              <c:idx val="2"/>
              <c:layout>
                <c:manualLayout>
                  <c:x val="-3.0555555555555555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DAB-466E-B03A-C18F56AED73E}"/>
                </c:ext>
              </c:extLst>
            </c:dLbl>
            <c:dLbl>
              <c:idx val="3"/>
              <c:layout>
                <c:manualLayout>
                  <c:x val="-3.3333333333333437E-2"/>
                  <c:y val="-4.62962962962963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DAB-466E-B03A-C18F56AED73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Smokers!$A$3:$A$6</c:f>
              <c:numCache>
                <c:formatCode>General</c:formatCode>
                <c:ptCount val="4"/>
                <c:pt idx="0">
                  <c:v>2010</c:v>
                </c:pt>
                <c:pt idx="1">
                  <c:v>2013</c:v>
                </c:pt>
                <c:pt idx="2">
                  <c:v>2016</c:v>
                </c:pt>
                <c:pt idx="3">
                  <c:v>2019</c:v>
                </c:pt>
              </c:numCache>
            </c:numRef>
          </c:cat>
          <c:val>
            <c:numRef>
              <c:f>Smokers!$J$3:$J$6</c:f>
              <c:numCache>
                <c:formatCode>General</c:formatCode>
                <c:ptCount val="4"/>
                <c:pt idx="0">
                  <c:v>24</c:v>
                </c:pt>
                <c:pt idx="1">
                  <c:v>17</c:v>
                </c:pt>
                <c:pt idx="2">
                  <c:v>14</c:v>
                </c:pt>
                <c:pt idx="3">
                  <c:v>14</c:v>
                </c:pt>
              </c:numCache>
            </c:numRef>
          </c:val>
          <c:smooth val="0"/>
          <c:extLst>
            <c:ext xmlns:c16="http://schemas.microsoft.com/office/drawing/2014/chart" uri="{C3380CC4-5D6E-409C-BE32-E72D297353CC}">
              <c16:uniqueId val="{00000005-4DAB-466E-B03A-C18F56AED73E}"/>
            </c:ext>
          </c:extLst>
        </c:ser>
        <c:dLbls>
          <c:showLegendKey val="0"/>
          <c:showVal val="0"/>
          <c:showCatName val="0"/>
          <c:showSerName val="0"/>
          <c:showPercent val="0"/>
          <c:showBubbleSize val="0"/>
        </c:dLbls>
        <c:marker val="1"/>
        <c:smooth val="0"/>
        <c:axId val="649648312"/>
        <c:axId val="649647984"/>
      </c:lineChart>
      <c:catAx>
        <c:axId val="649648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49647984"/>
        <c:crosses val="autoZero"/>
        <c:auto val="1"/>
        <c:lblAlgn val="ctr"/>
        <c:lblOffset val="100"/>
        <c:noMultiLvlLbl val="0"/>
      </c:catAx>
      <c:valAx>
        <c:axId val="6496479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Rate per 1000 population, aged 18+</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49648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03937007874017"/>
          <c:y val="4.5751633986928102E-2"/>
          <c:w val="0.84396062992125986"/>
          <c:h val="0.70578920282023572"/>
        </c:manualLayout>
      </c:layout>
      <c:barChart>
        <c:barDir val="col"/>
        <c:grouping val="clustered"/>
        <c:varyColors val="0"/>
        <c:ser>
          <c:idx val="0"/>
          <c:order val="0"/>
          <c:tx>
            <c:strRef>
              <c:f>Estimates!$I$15</c:f>
              <c:strCache>
                <c:ptCount val="1"/>
                <c:pt idx="0">
                  <c:v>2013</c:v>
                </c:pt>
              </c:strCache>
            </c:strRef>
          </c:tx>
          <c:spPr>
            <a:solidFill>
              <a:srgbClr val="4472C4"/>
            </a:solidFill>
            <a:ln w="25400">
              <a:noFill/>
            </a:ln>
          </c:spPr>
          <c:invertIfNegative val="0"/>
          <c:dLbls>
            <c:spPr>
              <a:noFill/>
              <a:ln w="25400">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Estimates!$J$14:$L$14</c:f>
              <c:strCache>
                <c:ptCount val="3"/>
                <c:pt idx="0">
                  <c:v>All current smokers aged 18+ in Australia who received smoking cessation therapies under PBS</c:v>
                </c:pt>
                <c:pt idx="1">
                  <c:v>All women aged 15-44 in Australia who received smoking cessation theraies under the PBS</c:v>
                </c:pt>
                <c:pt idx="2">
                  <c:v>All Indigenous people aged 18+ in Australia who received smoking cessation theraies under the PBS</c:v>
                </c:pt>
              </c:strCache>
            </c:strRef>
          </c:cat>
          <c:val>
            <c:numRef>
              <c:f>Estimates!$J$15:$L$15</c:f>
              <c:numCache>
                <c:formatCode>General</c:formatCode>
                <c:ptCount val="3"/>
                <c:pt idx="0">
                  <c:v>10.4</c:v>
                </c:pt>
                <c:pt idx="1">
                  <c:v>1.4</c:v>
                </c:pt>
                <c:pt idx="2">
                  <c:v>6.1</c:v>
                </c:pt>
              </c:numCache>
            </c:numRef>
          </c:val>
          <c:extLst>
            <c:ext xmlns:c16="http://schemas.microsoft.com/office/drawing/2014/chart" uri="{C3380CC4-5D6E-409C-BE32-E72D297353CC}">
              <c16:uniqueId val="{00000000-2A96-4340-B3F8-15E8DCCCA5A6}"/>
            </c:ext>
          </c:extLst>
        </c:ser>
        <c:ser>
          <c:idx val="1"/>
          <c:order val="1"/>
          <c:tx>
            <c:strRef>
              <c:f>Estimates!$I$16</c:f>
              <c:strCache>
                <c:ptCount val="1"/>
                <c:pt idx="0">
                  <c:v>2016</c:v>
                </c:pt>
              </c:strCache>
            </c:strRef>
          </c:tx>
          <c:spPr>
            <a:solidFill>
              <a:srgbClr val="ED7D31"/>
            </a:solidFill>
            <a:ln w="25400">
              <a:noFill/>
            </a:ln>
          </c:spPr>
          <c:invertIfNegative val="0"/>
          <c:dLbls>
            <c:spPr>
              <a:noFill/>
              <a:ln w="25400">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Estimates!$J$14:$L$14</c:f>
              <c:strCache>
                <c:ptCount val="3"/>
                <c:pt idx="0">
                  <c:v>All current smokers aged 18+ in Australia who received smoking cessation therapies under PBS</c:v>
                </c:pt>
                <c:pt idx="1">
                  <c:v>All women aged 15-44 in Australia who received smoking cessation theraies under the PBS</c:v>
                </c:pt>
                <c:pt idx="2">
                  <c:v>All Indigenous people aged 18+ in Australia who received smoking cessation theraies under the PBS</c:v>
                </c:pt>
              </c:strCache>
            </c:strRef>
          </c:cat>
          <c:val>
            <c:numRef>
              <c:f>Estimates!$J$16:$L$16</c:f>
              <c:numCache>
                <c:formatCode>General</c:formatCode>
                <c:ptCount val="3"/>
                <c:pt idx="0">
                  <c:v>8.9</c:v>
                </c:pt>
                <c:pt idx="1">
                  <c:v>1.1000000000000001</c:v>
                </c:pt>
                <c:pt idx="2">
                  <c:v>5.4</c:v>
                </c:pt>
              </c:numCache>
            </c:numRef>
          </c:val>
          <c:extLst>
            <c:ext xmlns:c16="http://schemas.microsoft.com/office/drawing/2014/chart" uri="{C3380CC4-5D6E-409C-BE32-E72D297353CC}">
              <c16:uniqueId val="{00000001-2A96-4340-B3F8-15E8DCCCA5A6}"/>
            </c:ext>
          </c:extLst>
        </c:ser>
        <c:ser>
          <c:idx val="2"/>
          <c:order val="2"/>
          <c:tx>
            <c:strRef>
              <c:f>Estimates!$I$17</c:f>
              <c:strCache>
                <c:ptCount val="1"/>
                <c:pt idx="0">
                  <c:v>2019</c:v>
                </c:pt>
              </c:strCache>
            </c:strRef>
          </c:tx>
          <c:spPr>
            <a:solidFill>
              <a:srgbClr val="A5A5A5"/>
            </a:solidFill>
            <a:ln w="25400">
              <a:noFill/>
            </a:ln>
          </c:spPr>
          <c:invertIfNegative val="0"/>
          <c:dLbls>
            <c:spPr>
              <a:noFill/>
              <a:ln w="25400">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Estimates!$J$14:$L$14</c:f>
              <c:strCache>
                <c:ptCount val="3"/>
                <c:pt idx="0">
                  <c:v>All current smokers aged 18+ in Australia who received smoking cessation therapies under PBS</c:v>
                </c:pt>
                <c:pt idx="1">
                  <c:v>All women aged 15-44 in Australia who received smoking cessation theraies under the PBS</c:v>
                </c:pt>
                <c:pt idx="2">
                  <c:v>All Indigenous people aged 18+ in Australia who received smoking cessation theraies under the PBS</c:v>
                </c:pt>
              </c:strCache>
            </c:strRef>
          </c:cat>
          <c:val>
            <c:numRef>
              <c:f>Estimates!$J$17:$L$17</c:f>
              <c:numCache>
                <c:formatCode>General</c:formatCode>
                <c:ptCount val="3"/>
                <c:pt idx="0">
                  <c:v>9.5</c:v>
                </c:pt>
                <c:pt idx="1">
                  <c:v>0.9</c:v>
                </c:pt>
                <c:pt idx="2">
                  <c:v>5.5</c:v>
                </c:pt>
              </c:numCache>
            </c:numRef>
          </c:val>
          <c:extLst>
            <c:ext xmlns:c16="http://schemas.microsoft.com/office/drawing/2014/chart" uri="{C3380CC4-5D6E-409C-BE32-E72D297353CC}">
              <c16:uniqueId val="{00000002-2A96-4340-B3F8-15E8DCCCA5A6}"/>
            </c:ext>
          </c:extLst>
        </c:ser>
        <c:dLbls>
          <c:showLegendKey val="0"/>
          <c:showVal val="0"/>
          <c:showCatName val="0"/>
          <c:showSerName val="0"/>
          <c:showPercent val="0"/>
          <c:showBubbleSize val="0"/>
        </c:dLbls>
        <c:gapWidth val="219"/>
        <c:overlap val="-27"/>
        <c:axId val="635802344"/>
        <c:axId val="1"/>
      </c:barChart>
      <c:catAx>
        <c:axId val="635802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Percent of the toal population of interest</a:t>
                </a:r>
              </a:p>
            </c:rich>
          </c:tx>
          <c:layout>
            <c:manualLayout>
              <c:xMode val="edge"/>
              <c:yMode val="edge"/>
              <c:x val="2.5000000000000001E-2"/>
              <c:y val="0.18889429262518656"/>
            </c:manualLayout>
          </c:layout>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635802344"/>
        <c:crosses val="autoZero"/>
        <c:crossBetween val="between"/>
      </c:valAx>
      <c:spPr>
        <a:noFill/>
        <a:ln w="25400">
          <a:noFill/>
        </a:ln>
      </c:spPr>
    </c:plotArea>
    <c:legend>
      <c:legendPos val="b"/>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'[Stats.xlsx]Counselling Services'!$B$4</c:f>
              <c:strCache>
                <c:ptCount val="1"/>
                <c:pt idx="0">
                  <c:v>2010</c:v>
                </c:pt>
              </c:strCache>
            </c:strRef>
          </c:tx>
          <c:spPr>
            <a:solidFill>
              <a:schemeClr val="accent1"/>
            </a:solidFill>
            <a:ln>
              <a:noFill/>
            </a:ln>
            <a:effectLst/>
          </c:spPr>
          <c:invertIfNegative val="0"/>
          <c:cat>
            <c:strRef>
              <c:f>'[Stats.xlsx]Counselling Services'!$A$5:$A$11</c:f>
              <c:strCache>
                <c:ptCount val="7"/>
                <c:pt idx="0">
                  <c:v>Contacted the Quitline</c:v>
                </c:pt>
                <c:pt idx="1">
                  <c:v>Asked your doctor for help to quit</c:v>
                </c:pt>
                <c:pt idx="2">
                  <c:v>Used nicotine gum, nicotine patch, inhaler or spray</c:v>
                </c:pt>
                <c:pt idx="3">
                  <c:v>Used smoking cess. pill</c:v>
                </c:pt>
                <c:pt idx="4">
                  <c:v>Bought a product other than nicotine patch, gum or pill to help you quit</c:v>
                </c:pt>
                <c:pt idx="5">
                  <c:v>Read information on the internet or a brochure on how to quit</c:v>
                </c:pt>
                <c:pt idx="6">
                  <c:v>Used Quit smoking App</c:v>
                </c:pt>
              </c:strCache>
            </c:strRef>
          </c:cat>
          <c:val>
            <c:numRef>
              <c:f>'[Stats.xlsx]Counselling Services'!$B$5:$B$11</c:f>
              <c:numCache>
                <c:formatCode>General</c:formatCode>
                <c:ptCount val="7"/>
                <c:pt idx="0">
                  <c:v>3.7</c:v>
                </c:pt>
                <c:pt idx="1">
                  <c:v>13.6</c:v>
                </c:pt>
                <c:pt idx="2">
                  <c:v>14.1</c:v>
                </c:pt>
                <c:pt idx="3">
                  <c:v>7.3</c:v>
                </c:pt>
                <c:pt idx="4">
                  <c:v>5.9</c:v>
                </c:pt>
                <c:pt idx="5">
                  <c:v>11.4</c:v>
                </c:pt>
                <c:pt idx="6">
                  <c:v>0</c:v>
                </c:pt>
              </c:numCache>
            </c:numRef>
          </c:val>
          <c:extLst>
            <c:ext xmlns:c16="http://schemas.microsoft.com/office/drawing/2014/chart" uri="{C3380CC4-5D6E-409C-BE32-E72D297353CC}">
              <c16:uniqueId val="{00000000-E7B1-449E-B84C-23372B26D3C7}"/>
            </c:ext>
          </c:extLst>
        </c:ser>
        <c:ser>
          <c:idx val="1"/>
          <c:order val="1"/>
          <c:tx>
            <c:strRef>
              <c:f>'[Stats.xlsx]Counselling Services'!$C$4</c:f>
              <c:strCache>
                <c:ptCount val="1"/>
                <c:pt idx="0">
                  <c:v>2013</c:v>
                </c:pt>
              </c:strCache>
            </c:strRef>
          </c:tx>
          <c:spPr>
            <a:solidFill>
              <a:schemeClr val="accent2"/>
            </a:solidFill>
            <a:ln>
              <a:noFill/>
            </a:ln>
            <a:effectLst/>
          </c:spPr>
          <c:invertIfNegative val="0"/>
          <c:cat>
            <c:strRef>
              <c:f>'[Stats.xlsx]Counselling Services'!$A$5:$A$11</c:f>
              <c:strCache>
                <c:ptCount val="7"/>
                <c:pt idx="0">
                  <c:v>Contacted the Quitline</c:v>
                </c:pt>
                <c:pt idx="1">
                  <c:v>Asked your doctor for help to quit</c:v>
                </c:pt>
                <c:pt idx="2">
                  <c:v>Used nicotine gum, nicotine patch, inhaler or spray</c:v>
                </c:pt>
                <c:pt idx="3">
                  <c:v>Used smoking cess. pill</c:v>
                </c:pt>
                <c:pt idx="4">
                  <c:v>Bought a product other than nicotine patch, gum or pill to help you quit</c:v>
                </c:pt>
                <c:pt idx="5">
                  <c:v>Read information on the internet or a brochure on how to quit</c:v>
                </c:pt>
                <c:pt idx="6">
                  <c:v>Used Quit smoking App</c:v>
                </c:pt>
              </c:strCache>
            </c:strRef>
          </c:cat>
          <c:val>
            <c:numRef>
              <c:f>'[Stats.xlsx]Counselling Services'!$C$5:$C$11</c:f>
              <c:numCache>
                <c:formatCode>General</c:formatCode>
                <c:ptCount val="7"/>
                <c:pt idx="0">
                  <c:v>2.8</c:v>
                </c:pt>
                <c:pt idx="1">
                  <c:v>13.3</c:v>
                </c:pt>
                <c:pt idx="2">
                  <c:v>15.8</c:v>
                </c:pt>
                <c:pt idx="3">
                  <c:v>5</c:v>
                </c:pt>
                <c:pt idx="4">
                  <c:v>6.1</c:v>
                </c:pt>
                <c:pt idx="5">
                  <c:v>9.3000000000000007</c:v>
                </c:pt>
                <c:pt idx="6">
                  <c:v>2.5</c:v>
                </c:pt>
              </c:numCache>
            </c:numRef>
          </c:val>
          <c:extLst>
            <c:ext xmlns:c16="http://schemas.microsoft.com/office/drawing/2014/chart" uri="{C3380CC4-5D6E-409C-BE32-E72D297353CC}">
              <c16:uniqueId val="{00000001-E7B1-449E-B84C-23372B26D3C7}"/>
            </c:ext>
          </c:extLst>
        </c:ser>
        <c:ser>
          <c:idx val="2"/>
          <c:order val="2"/>
          <c:tx>
            <c:strRef>
              <c:f>'[Stats.xlsx]Counselling Services'!$D$4</c:f>
              <c:strCache>
                <c:ptCount val="1"/>
                <c:pt idx="0">
                  <c:v>2016</c:v>
                </c:pt>
              </c:strCache>
            </c:strRef>
          </c:tx>
          <c:spPr>
            <a:solidFill>
              <a:schemeClr val="accent3"/>
            </a:solidFill>
            <a:ln>
              <a:noFill/>
            </a:ln>
            <a:effectLst/>
          </c:spPr>
          <c:invertIfNegative val="0"/>
          <c:cat>
            <c:strRef>
              <c:f>'[Stats.xlsx]Counselling Services'!$A$5:$A$11</c:f>
              <c:strCache>
                <c:ptCount val="7"/>
                <c:pt idx="0">
                  <c:v>Contacted the Quitline</c:v>
                </c:pt>
                <c:pt idx="1">
                  <c:v>Asked your doctor for help to quit</c:v>
                </c:pt>
                <c:pt idx="2">
                  <c:v>Used nicotine gum, nicotine patch, inhaler or spray</c:v>
                </c:pt>
                <c:pt idx="3">
                  <c:v>Used smoking cess. pill</c:v>
                </c:pt>
                <c:pt idx="4">
                  <c:v>Bought a product other than nicotine patch, gum or pill to help you quit</c:v>
                </c:pt>
                <c:pt idx="5">
                  <c:v>Read information on the internet or a brochure on how to quit</c:v>
                </c:pt>
                <c:pt idx="6">
                  <c:v>Used Quit smoking App</c:v>
                </c:pt>
              </c:strCache>
            </c:strRef>
          </c:cat>
          <c:val>
            <c:numRef>
              <c:f>'[Stats.xlsx]Counselling Services'!$D$5:$D$11</c:f>
              <c:numCache>
                <c:formatCode>General</c:formatCode>
                <c:ptCount val="7"/>
                <c:pt idx="0">
                  <c:v>2.2000000000000002</c:v>
                </c:pt>
                <c:pt idx="1">
                  <c:v>9.8000000000000007</c:v>
                </c:pt>
                <c:pt idx="2">
                  <c:v>15.7</c:v>
                </c:pt>
                <c:pt idx="3">
                  <c:v>4.2</c:v>
                </c:pt>
                <c:pt idx="4">
                  <c:v>6.9</c:v>
                </c:pt>
                <c:pt idx="5">
                  <c:v>10.7</c:v>
                </c:pt>
                <c:pt idx="6">
                  <c:v>3.8</c:v>
                </c:pt>
              </c:numCache>
            </c:numRef>
          </c:val>
          <c:extLst>
            <c:ext xmlns:c16="http://schemas.microsoft.com/office/drawing/2014/chart" uri="{C3380CC4-5D6E-409C-BE32-E72D297353CC}">
              <c16:uniqueId val="{00000002-E7B1-449E-B84C-23372B26D3C7}"/>
            </c:ext>
          </c:extLst>
        </c:ser>
        <c:ser>
          <c:idx val="3"/>
          <c:order val="3"/>
          <c:tx>
            <c:strRef>
              <c:f>'[Stats.xlsx]Counselling Services'!$E$4</c:f>
              <c:strCache>
                <c:ptCount val="1"/>
                <c:pt idx="0">
                  <c:v>2019</c:v>
                </c:pt>
              </c:strCache>
            </c:strRef>
          </c:tx>
          <c:spPr>
            <a:solidFill>
              <a:schemeClr val="accent4"/>
            </a:solidFill>
            <a:ln>
              <a:noFill/>
            </a:ln>
            <a:effectLst/>
          </c:spPr>
          <c:invertIfNegative val="0"/>
          <c:cat>
            <c:strRef>
              <c:f>'[Stats.xlsx]Counselling Services'!$A$5:$A$11</c:f>
              <c:strCache>
                <c:ptCount val="7"/>
                <c:pt idx="0">
                  <c:v>Contacted the Quitline</c:v>
                </c:pt>
                <c:pt idx="1">
                  <c:v>Asked your doctor for help to quit</c:v>
                </c:pt>
                <c:pt idx="2">
                  <c:v>Used nicotine gum, nicotine patch, inhaler or spray</c:v>
                </c:pt>
                <c:pt idx="3">
                  <c:v>Used smoking cess. pill</c:v>
                </c:pt>
                <c:pt idx="4">
                  <c:v>Bought a product other than nicotine patch, gum or pill to help you quit</c:v>
                </c:pt>
                <c:pt idx="5">
                  <c:v>Read information on the internet or a brochure on how to quit</c:v>
                </c:pt>
                <c:pt idx="6">
                  <c:v>Used Quit smoking App</c:v>
                </c:pt>
              </c:strCache>
            </c:strRef>
          </c:cat>
          <c:val>
            <c:numRef>
              <c:f>'[Stats.xlsx]Counselling Services'!$E$5:$E$11</c:f>
              <c:numCache>
                <c:formatCode>General</c:formatCode>
                <c:ptCount val="7"/>
                <c:pt idx="0">
                  <c:v>1.8</c:v>
                </c:pt>
                <c:pt idx="1">
                  <c:v>10.199999999999999</c:v>
                </c:pt>
                <c:pt idx="2">
                  <c:v>16.8</c:v>
                </c:pt>
                <c:pt idx="3">
                  <c:v>6.3</c:v>
                </c:pt>
                <c:pt idx="4">
                  <c:v>5.5</c:v>
                </c:pt>
                <c:pt idx="5">
                  <c:v>7.8</c:v>
                </c:pt>
                <c:pt idx="6">
                  <c:v>4.9000000000000004</c:v>
                </c:pt>
              </c:numCache>
            </c:numRef>
          </c:val>
          <c:extLst>
            <c:ext xmlns:c16="http://schemas.microsoft.com/office/drawing/2014/chart" uri="{C3380CC4-5D6E-409C-BE32-E72D297353CC}">
              <c16:uniqueId val="{00000003-E7B1-449E-B84C-23372B26D3C7}"/>
            </c:ext>
          </c:extLst>
        </c:ser>
        <c:dLbls>
          <c:showLegendKey val="0"/>
          <c:showVal val="0"/>
          <c:showCatName val="0"/>
          <c:showSerName val="0"/>
          <c:showPercent val="0"/>
          <c:showBubbleSize val="0"/>
        </c:dLbls>
        <c:gapWidth val="219"/>
        <c:overlap val="-27"/>
        <c:axId val="437733120"/>
        <c:axId val="437732792"/>
      </c:barChart>
      <c:catAx>
        <c:axId val="43773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37732792"/>
        <c:crosses val="autoZero"/>
        <c:auto val="1"/>
        <c:lblAlgn val="ctr"/>
        <c:lblOffset val="100"/>
        <c:noMultiLvlLbl val="0"/>
      </c:catAx>
      <c:valAx>
        <c:axId val="437732792"/>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37733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Summary!$B$2</c:f>
              <c:strCache>
                <c:ptCount val="1"/>
                <c:pt idx="0">
                  <c:v>NSW</c:v>
                </c:pt>
              </c:strCache>
            </c:strRef>
          </c:tx>
          <c:spPr>
            <a:solidFill>
              <a:schemeClr val="accent1"/>
            </a:solidFill>
            <a:ln>
              <a:noFill/>
            </a:ln>
            <a:effectLst/>
          </c:spPr>
          <c:invertIfNegative val="0"/>
          <c:cat>
            <c:numRef>
              <c:f>Summary!$A$3:$A$14</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Summary!$B$3:$B$14</c:f>
              <c:numCache>
                <c:formatCode>General</c:formatCode>
                <c:ptCount val="12"/>
                <c:pt idx="0">
                  <c:v>518</c:v>
                </c:pt>
                <c:pt idx="1">
                  <c:v>501</c:v>
                </c:pt>
                <c:pt idx="2">
                  <c:v>460</c:v>
                </c:pt>
                <c:pt idx="3">
                  <c:v>529</c:v>
                </c:pt>
                <c:pt idx="4">
                  <c:v>581</c:v>
                </c:pt>
                <c:pt idx="5">
                  <c:v>459</c:v>
                </c:pt>
                <c:pt idx="6">
                  <c:v>527</c:v>
                </c:pt>
                <c:pt idx="7">
                  <c:v>590</c:v>
                </c:pt>
                <c:pt idx="8">
                  <c:v>618</c:v>
                </c:pt>
                <c:pt idx="9">
                  <c:v>535</c:v>
                </c:pt>
                <c:pt idx="10">
                  <c:v>430</c:v>
                </c:pt>
                <c:pt idx="11">
                  <c:v>426</c:v>
                </c:pt>
              </c:numCache>
            </c:numRef>
          </c:val>
          <c:extLst>
            <c:ext xmlns:c16="http://schemas.microsoft.com/office/drawing/2014/chart" uri="{C3380CC4-5D6E-409C-BE32-E72D297353CC}">
              <c16:uniqueId val="{00000000-01C6-465C-B272-CA824CAF90CD}"/>
            </c:ext>
          </c:extLst>
        </c:ser>
        <c:ser>
          <c:idx val="1"/>
          <c:order val="1"/>
          <c:tx>
            <c:strRef>
              <c:f>Summary!$C$2</c:f>
              <c:strCache>
                <c:ptCount val="1"/>
                <c:pt idx="0">
                  <c:v>Victoria</c:v>
                </c:pt>
              </c:strCache>
            </c:strRef>
          </c:tx>
          <c:spPr>
            <a:solidFill>
              <a:schemeClr val="accent2"/>
            </a:solidFill>
            <a:ln>
              <a:noFill/>
            </a:ln>
            <a:effectLst/>
          </c:spPr>
          <c:invertIfNegative val="0"/>
          <c:cat>
            <c:numRef>
              <c:f>Summary!$A$3:$A$14</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Summary!$C$3:$C$14</c:f>
              <c:numCache>
                <c:formatCode>General</c:formatCode>
                <c:ptCount val="12"/>
                <c:pt idx="0">
                  <c:v>388</c:v>
                </c:pt>
                <c:pt idx="1">
                  <c:v>384</c:v>
                </c:pt>
                <c:pt idx="2">
                  <c:v>403</c:v>
                </c:pt>
                <c:pt idx="3">
                  <c:v>321</c:v>
                </c:pt>
                <c:pt idx="4">
                  <c:v>405</c:v>
                </c:pt>
                <c:pt idx="5">
                  <c:v>416</c:v>
                </c:pt>
                <c:pt idx="6">
                  <c:v>465</c:v>
                </c:pt>
                <c:pt idx="7">
                  <c:v>440</c:v>
                </c:pt>
                <c:pt idx="8">
                  <c:v>379</c:v>
                </c:pt>
                <c:pt idx="9">
                  <c:v>738</c:v>
                </c:pt>
                <c:pt idx="10">
                  <c:v>534</c:v>
                </c:pt>
                <c:pt idx="11">
                  <c:v>312</c:v>
                </c:pt>
              </c:numCache>
            </c:numRef>
          </c:val>
          <c:extLst>
            <c:ext xmlns:c16="http://schemas.microsoft.com/office/drawing/2014/chart" uri="{C3380CC4-5D6E-409C-BE32-E72D297353CC}">
              <c16:uniqueId val="{00000001-01C6-465C-B272-CA824CAF90CD}"/>
            </c:ext>
          </c:extLst>
        </c:ser>
        <c:ser>
          <c:idx val="2"/>
          <c:order val="2"/>
          <c:tx>
            <c:strRef>
              <c:f>Summary!$D$2</c:f>
              <c:strCache>
                <c:ptCount val="1"/>
                <c:pt idx="0">
                  <c:v>QLD</c:v>
                </c:pt>
              </c:strCache>
            </c:strRef>
          </c:tx>
          <c:spPr>
            <a:solidFill>
              <a:srgbClr val="7030A0"/>
            </a:solidFill>
            <a:ln>
              <a:noFill/>
            </a:ln>
            <a:effectLst/>
          </c:spPr>
          <c:invertIfNegative val="0"/>
          <c:cat>
            <c:numRef>
              <c:f>Summary!$A$3:$A$14</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Summary!$D$3:$D$14</c:f>
              <c:numCache>
                <c:formatCode>General</c:formatCode>
                <c:ptCount val="12"/>
                <c:pt idx="0">
                  <c:v>641</c:v>
                </c:pt>
                <c:pt idx="1">
                  <c:v>680</c:v>
                </c:pt>
                <c:pt idx="2">
                  <c:v>699</c:v>
                </c:pt>
                <c:pt idx="3">
                  <c:v>699</c:v>
                </c:pt>
                <c:pt idx="4">
                  <c:v>544</c:v>
                </c:pt>
                <c:pt idx="5">
                  <c:v>468</c:v>
                </c:pt>
                <c:pt idx="6">
                  <c:v>586</c:v>
                </c:pt>
                <c:pt idx="7">
                  <c:v>453</c:v>
                </c:pt>
                <c:pt idx="8">
                  <c:v>640</c:v>
                </c:pt>
                <c:pt idx="9">
                  <c:v>563</c:v>
                </c:pt>
                <c:pt idx="10">
                  <c:v>602</c:v>
                </c:pt>
                <c:pt idx="11">
                  <c:v>712</c:v>
                </c:pt>
              </c:numCache>
            </c:numRef>
          </c:val>
          <c:extLst>
            <c:ext xmlns:c16="http://schemas.microsoft.com/office/drawing/2014/chart" uri="{C3380CC4-5D6E-409C-BE32-E72D297353CC}">
              <c16:uniqueId val="{00000002-01C6-465C-B272-CA824CAF90CD}"/>
            </c:ext>
          </c:extLst>
        </c:ser>
        <c:dLbls>
          <c:showLegendKey val="0"/>
          <c:showVal val="0"/>
          <c:showCatName val="0"/>
          <c:showSerName val="0"/>
          <c:showPercent val="0"/>
          <c:showBubbleSize val="0"/>
        </c:dLbls>
        <c:gapWidth val="219"/>
        <c:overlap val="-27"/>
        <c:axId val="502272448"/>
        <c:axId val="502272776"/>
      </c:barChart>
      <c:dateAx>
        <c:axId val="50227244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02272776"/>
        <c:crosses val="autoZero"/>
        <c:auto val="1"/>
        <c:lblOffset val="100"/>
        <c:baseTimeUnit val="months"/>
      </c:dateAx>
      <c:valAx>
        <c:axId val="502272776"/>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calls</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02272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PBS_Benefit!$F$2</c:f>
              <c:strCache>
                <c:ptCount val="1"/>
                <c:pt idx="0">
                  <c:v>BUPROPION</c:v>
                </c:pt>
              </c:strCache>
            </c:strRef>
          </c:tx>
          <c:spPr>
            <a:solidFill>
              <a:schemeClr val="accent1"/>
            </a:solidFill>
            <a:ln>
              <a:noFill/>
            </a:ln>
            <a:effectLst/>
          </c:spPr>
          <c:invertIfNegative val="0"/>
          <c:cat>
            <c:strRef>
              <c:f>PBS_Benefit!$A$3:$A$12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PBS_Benefit!$F$3:$F$12</c:f>
              <c:numCache>
                <c:formatCode>General</c:formatCode>
                <c:ptCount val="10"/>
                <c:pt idx="0">
                  <c:v>1.5</c:v>
                </c:pt>
                <c:pt idx="1">
                  <c:v>1.3</c:v>
                </c:pt>
                <c:pt idx="2">
                  <c:v>1.3</c:v>
                </c:pt>
                <c:pt idx="3">
                  <c:v>1.3</c:v>
                </c:pt>
                <c:pt idx="4">
                  <c:v>1.3</c:v>
                </c:pt>
                <c:pt idx="5">
                  <c:v>1.4</c:v>
                </c:pt>
                <c:pt idx="6">
                  <c:v>1.6</c:v>
                </c:pt>
                <c:pt idx="7">
                  <c:v>1.8</c:v>
                </c:pt>
                <c:pt idx="8">
                  <c:v>2</c:v>
                </c:pt>
                <c:pt idx="9">
                  <c:v>0.5</c:v>
                </c:pt>
              </c:numCache>
            </c:numRef>
          </c:val>
          <c:extLst>
            <c:ext xmlns:c16="http://schemas.microsoft.com/office/drawing/2014/chart" uri="{C3380CC4-5D6E-409C-BE32-E72D297353CC}">
              <c16:uniqueId val="{00000000-0882-4D74-B4F4-F5A408F2DF76}"/>
            </c:ext>
          </c:extLst>
        </c:ser>
        <c:ser>
          <c:idx val="1"/>
          <c:order val="1"/>
          <c:tx>
            <c:strRef>
              <c:f>PBS_Benefit!$G$2</c:f>
              <c:strCache>
                <c:ptCount val="1"/>
                <c:pt idx="0">
                  <c:v>VARENICLINE</c:v>
                </c:pt>
              </c:strCache>
            </c:strRef>
          </c:tx>
          <c:spPr>
            <a:solidFill>
              <a:schemeClr val="bg1">
                <a:lumMod val="65000"/>
              </a:schemeClr>
            </a:solidFill>
            <a:ln>
              <a:noFill/>
            </a:ln>
            <a:effectLst/>
          </c:spPr>
          <c:invertIfNegative val="0"/>
          <c:cat>
            <c:strRef>
              <c:f>PBS_Benefit!$A$3:$A$12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PBS_Benefit!$G$3:$G$12</c:f>
              <c:numCache>
                <c:formatCode>General</c:formatCode>
                <c:ptCount val="10"/>
                <c:pt idx="0">
                  <c:v>59.6</c:v>
                </c:pt>
                <c:pt idx="1">
                  <c:v>44.7</c:v>
                </c:pt>
                <c:pt idx="2">
                  <c:v>43.8</c:v>
                </c:pt>
                <c:pt idx="3">
                  <c:v>40.299999999999997</c:v>
                </c:pt>
                <c:pt idx="4">
                  <c:v>40.9</c:v>
                </c:pt>
                <c:pt idx="5">
                  <c:v>34.200000000000003</c:v>
                </c:pt>
                <c:pt idx="6">
                  <c:v>30.7</c:v>
                </c:pt>
                <c:pt idx="7">
                  <c:v>30.8</c:v>
                </c:pt>
                <c:pt idx="8">
                  <c:v>26.7</c:v>
                </c:pt>
                <c:pt idx="9">
                  <c:v>26.3</c:v>
                </c:pt>
              </c:numCache>
            </c:numRef>
          </c:val>
          <c:extLst>
            <c:ext xmlns:c16="http://schemas.microsoft.com/office/drawing/2014/chart" uri="{C3380CC4-5D6E-409C-BE32-E72D297353CC}">
              <c16:uniqueId val="{00000001-0882-4D74-B4F4-F5A408F2DF76}"/>
            </c:ext>
          </c:extLst>
        </c:ser>
        <c:ser>
          <c:idx val="2"/>
          <c:order val="2"/>
          <c:tx>
            <c:strRef>
              <c:f>PBS_Benefit!$H$2</c:f>
              <c:strCache>
                <c:ptCount val="1"/>
                <c:pt idx="0">
                  <c:v>NICOTINE</c:v>
                </c:pt>
              </c:strCache>
            </c:strRef>
          </c:tx>
          <c:spPr>
            <a:solidFill>
              <a:srgbClr val="FFC000"/>
            </a:solidFill>
            <a:ln>
              <a:noFill/>
            </a:ln>
            <a:effectLst/>
          </c:spPr>
          <c:invertIfNegative val="0"/>
          <c:cat>
            <c:strRef>
              <c:f>PBS_Benefit!$A$3:$A$12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PBS_Benefit!$H$3:$H$12</c:f>
              <c:numCache>
                <c:formatCode>General</c:formatCode>
                <c:ptCount val="10"/>
                <c:pt idx="0">
                  <c:v>6.4</c:v>
                </c:pt>
                <c:pt idx="1">
                  <c:v>7.7</c:v>
                </c:pt>
                <c:pt idx="2">
                  <c:v>5.8</c:v>
                </c:pt>
                <c:pt idx="3">
                  <c:v>5.6</c:v>
                </c:pt>
                <c:pt idx="4">
                  <c:v>6.2</c:v>
                </c:pt>
                <c:pt idx="5">
                  <c:v>7.2</c:v>
                </c:pt>
                <c:pt idx="6">
                  <c:v>7.8</c:v>
                </c:pt>
                <c:pt idx="7">
                  <c:v>8.6999999999999993</c:v>
                </c:pt>
                <c:pt idx="8">
                  <c:v>9.1</c:v>
                </c:pt>
                <c:pt idx="9">
                  <c:v>8.8000000000000007</c:v>
                </c:pt>
              </c:numCache>
            </c:numRef>
          </c:val>
          <c:extLst>
            <c:ext xmlns:c16="http://schemas.microsoft.com/office/drawing/2014/chart" uri="{C3380CC4-5D6E-409C-BE32-E72D297353CC}">
              <c16:uniqueId val="{00000002-0882-4D74-B4F4-F5A408F2DF76}"/>
            </c:ext>
          </c:extLst>
        </c:ser>
        <c:dLbls>
          <c:showLegendKey val="0"/>
          <c:showVal val="0"/>
          <c:showCatName val="0"/>
          <c:showSerName val="0"/>
          <c:showPercent val="0"/>
          <c:showBubbleSize val="0"/>
        </c:dLbls>
        <c:gapWidth val="150"/>
        <c:overlap val="100"/>
        <c:axId val="285485472"/>
        <c:axId val="578007928"/>
      </c:barChart>
      <c:catAx>
        <c:axId val="28548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8007928"/>
        <c:crosses val="autoZero"/>
        <c:auto val="1"/>
        <c:lblAlgn val="ctr"/>
        <c:lblOffset val="100"/>
        <c:noMultiLvlLbl val="0"/>
      </c:catAx>
      <c:valAx>
        <c:axId val="57800792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AUD million</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285485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Total_Cost_Financial!$E$3</c:f>
              <c:strCache>
                <c:ptCount val="1"/>
                <c:pt idx="0">
                  <c:v>BUPROPION</c:v>
                </c:pt>
              </c:strCache>
            </c:strRef>
          </c:tx>
          <c:spPr>
            <a:solidFill>
              <a:schemeClr val="tx2"/>
            </a:solidFill>
            <a:ln w="25400">
              <a:noFill/>
            </a:ln>
          </c:spPr>
          <c:invertIfNegative val="0"/>
          <c:cat>
            <c:strRef>
              <c:f>Total_Cost_Financial!$A$4:$A$13</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Total_Cost_Financial!$E$4:$E$13</c:f>
              <c:numCache>
                <c:formatCode>General</c:formatCode>
                <c:ptCount val="10"/>
                <c:pt idx="0">
                  <c:v>1.9</c:v>
                </c:pt>
                <c:pt idx="1">
                  <c:v>1.6</c:v>
                </c:pt>
                <c:pt idx="2">
                  <c:v>1.6</c:v>
                </c:pt>
                <c:pt idx="3">
                  <c:v>1.6</c:v>
                </c:pt>
                <c:pt idx="4">
                  <c:v>1.7</c:v>
                </c:pt>
                <c:pt idx="5">
                  <c:v>1.8</c:v>
                </c:pt>
                <c:pt idx="6">
                  <c:v>2.1</c:v>
                </c:pt>
                <c:pt idx="7">
                  <c:v>2.2999999999999998</c:v>
                </c:pt>
                <c:pt idx="8">
                  <c:v>2.5</c:v>
                </c:pt>
                <c:pt idx="9">
                  <c:v>0.6</c:v>
                </c:pt>
              </c:numCache>
            </c:numRef>
          </c:val>
          <c:extLst>
            <c:ext xmlns:c16="http://schemas.microsoft.com/office/drawing/2014/chart" uri="{C3380CC4-5D6E-409C-BE32-E72D297353CC}">
              <c16:uniqueId val="{00000000-D213-4C6D-8B2C-E8F7FC11A7AD}"/>
            </c:ext>
          </c:extLst>
        </c:ser>
        <c:ser>
          <c:idx val="2"/>
          <c:order val="1"/>
          <c:tx>
            <c:strRef>
              <c:f>Total_Cost_Financial!$F$3</c:f>
              <c:strCache>
                <c:ptCount val="1"/>
                <c:pt idx="0">
                  <c:v>VARENICLINE</c:v>
                </c:pt>
              </c:strCache>
            </c:strRef>
          </c:tx>
          <c:spPr>
            <a:solidFill>
              <a:srgbClr val="A5A5A5"/>
            </a:solidFill>
            <a:ln w="25400">
              <a:noFill/>
            </a:ln>
          </c:spPr>
          <c:invertIfNegative val="0"/>
          <c:cat>
            <c:strRef>
              <c:f>Total_Cost_Financial!$A$4:$A$13</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Total_Cost_Financial!$F$4:$F$13</c:f>
              <c:numCache>
                <c:formatCode>General</c:formatCode>
                <c:ptCount val="10"/>
                <c:pt idx="0">
                  <c:v>70</c:v>
                </c:pt>
                <c:pt idx="1">
                  <c:v>53.1</c:v>
                </c:pt>
                <c:pt idx="2">
                  <c:v>52.2</c:v>
                </c:pt>
                <c:pt idx="3">
                  <c:v>48.1</c:v>
                </c:pt>
                <c:pt idx="4">
                  <c:v>48.8</c:v>
                </c:pt>
                <c:pt idx="5">
                  <c:v>41.5</c:v>
                </c:pt>
                <c:pt idx="6">
                  <c:v>37.6</c:v>
                </c:pt>
                <c:pt idx="7">
                  <c:v>38.200000000000003</c:v>
                </c:pt>
                <c:pt idx="8">
                  <c:v>34.299999999999997</c:v>
                </c:pt>
                <c:pt idx="9">
                  <c:v>34</c:v>
                </c:pt>
              </c:numCache>
            </c:numRef>
          </c:val>
          <c:extLst>
            <c:ext xmlns:c16="http://schemas.microsoft.com/office/drawing/2014/chart" uri="{C3380CC4-5D6E-409C-BE32-E72D297353CC}">
              <c16:uniqueId val="{00000001-D213-4C6D-8B2C-E8F7FC11A7AD}"/>
            </c:ext>
          </c:extLst>
        </c:ser>
        <c:ser>
          <c:idx val="3"/>
          <c:order val="2"/>
          <c:tx>
            <c:strRef>
              <c:f>Total_Cost_Financial!$G$3</c:f>
              <c:strCache>
                <c:ptCount val="1"/>
                <c:pt idx="0">
                  <c:v>NICOTINE</c:v>
                </c:pt>
              </c:strCache>
            </c:strRef>
          </c:tx>
          <c:spPr>
            <a:solidFill>
              <a:srgbClr val="FFC000"/>
            </a:solidFill>
            <a:ln w="25400">
              <a:noFill/>
            </a:ln>
          </c:spPr>
          <c:invertIfNegative val="0"/>
          <c:cat>
            <c:strRef>
              <c:f>Total_Cost_Financial!$A$4:$A$13</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Total_Cost_Financial!$G$4:$G$13</c:f>
              <c:numCache>
                <c:formatCode>General</c:formatCode>
                <c:ptCount val="10"/>
                <c:pt idx="0">
                  <c:v>8</c:v>
                </c:pt>
                <c:pt idx="1">
                  <c:v>10</c:v>
                </c:pt>
                <c:pt idx="2">
                  <c:v>7.5</c:v>
                </c:pt>
                <c:pt idx="3">
                  <c:v>7.1</c:v>
                </c:pt>
                <c:pt idx="4">
                  <c:v>7.8</c:v>
                </c:pt>
                <c:pt idx="5">
                  <c:v>9.1</c:v>
                </c:pt>
                <c:pt idx="6">
                  <c:v>10</c:v>
                </c:pt>
                <c:pt idx="7">
                  <c:v>11.3</c:v>
                </c:pt>
                <c:pt idx="8">
                  <c:v>11.9</c:v>
                </c:pt>
                <c:pt idx="9">
                  <c:v>11.7</c:v>
                </c:pt>
              </c:numCache>
            </c:numRef>
          </c:val>
          <c:extLst>
            <c:ext xmlns:c16="http://schemas.microsoft.com/office/drawing/2014/chart" uri="{C3380CC4-5D6E-409C-BE32-E72D297353CC}">
              <c16:uniqueId val="{00000002-D213-4C6D-8B2C-E8F7FC11A7AD}"/>
            </c:ext>
          </c:extLst>
        </c:ser>
        <c:dLbls>
          <c:showLegendKey val="0"/>
          <c:showVal val="0"/>
          <c:showCatName val="0"/>
          <c:showSerName val="0"/>
          <c:showPercent val="0"/>
          <c:showBubbleSize val="0"/>
        </c:dLbls>
        <c:gapWidth val="150"/>
        <c:overlap val="100"/>
        <c:axId val="640308008"/>
        <c:axId val="1"/>
      </c:barChart>
      <c:catAx>
        <c:axId val="640308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AUD million</a:t>
                </a:r>
              </a:p>
            </c:rich>
          </c:tx>
          <c:layout/>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640308008"/>
        <c:crosses val="autoZero"/>
        <c:crossBetween val="between"/>
      </c:valAx>
      <c:spPr>
        <a:noFill/>
        <a:ln w="25400">
          <a:noFill/>
        </a:ln>
      </c:spPr>
    </c:plotArea>
    <c:legend>
      <c:legendPos val="b"/>
      <c:layout>
        <c:manualLayout>
          <c:xMode val="edge"/>
          <c:yMode val="edge"/>
          <c:x val="0.24415041967574905"/>
          <c:y val="0.91370180486233188"/>
          <c:w val="0.5278423149189182"/>
          <c:h val="6.1797752808988762E-2"/>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NRT_Report!$A$17</c:f>
              <c:strCache>
                <c:ptCount val="1"/>
                <c:pt idx="0">
                  <c:v>Total volume</c:v>
                </c:pt>
              </c:strCache>
            </c:strRef>
          </c:tx>
          <c:spPr>
            <a:solidFill>
              <a:schemeClr val="accent2"/>
            </a:solidFill>
            <a:ln>
              <a:noFill/>
            </a:ln>
            <a:effectLst/>
          </c:spPr>
          <c:invertIfNegative val="0"/>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NRT_Report!$B$17:$P$17</c:f>
              <c:numCache>
                <c:formatCode>#,##0.0</c:formatCode>
                <c:ptCount val="15"/>
                <c:pt idx="0">
                  <c:v>126274.5712756867</c:v>
                </c:pt>
                <c:pt idx="1">
                  <c:v>141231.66911061591</c:v>
                </c:pt>
                <c:pt idx="2">
                  <c:v>155064.68501002179</c:v>
                </c:pt>
                <c:pt idx="3">
                  <c:v>168431.021479305</c:v>
                </c:pt>
                <c:pt idx="4">
                  <c:v>180466.24810938182</c:v>
                </c:pt>
                <c:pt idx="5">
                  <c:v>194355.87293939118</c:v>
                </c:pt>
                <c:pt idx="6">
                  <c:v>205620.1444125628</c:v>
                </c:pt>
                <c:pt idx="7">
                  <c:v>216454.4479308358</c:v>
                </c:pt>
                <c:pt idx="8">
                  <c:v>226916.42263887211</c:v>
                </c:pt>
                <c:pt idx="9">
                  <c:v>222712.76704809189</c:v>
                </c:pt>
                <c:pt idx="10">
                  <c:v>209448.10598937739</c:v>
                </c:pt>
                <c:pt idx="11">
                  <c:v>230550.45939552301</c:v>
                </c:pt>
                <c:pt idx="12">
                  <c:v>245757.18602203371</c:v>
                </c:pt>
                <c:pt idx="13">
                  <c:v>251994.4369722697</c:v>
                </c:pt>
                <c:pt idx="14">
                  <c:v>257363.12670772331</c:v>
                </c:pt>
              </c:numCache>
            </c:numRef>
          </c:val>
          <c:extLst>
            <c:ext xmlns:c16="http://schemas.microsoft.com/office/drawing/2014/chart" uri="{C3380CC4-5D6E-409C-BE32-E72D297353CC}">
              <c16:uniqueId val="{00000000-D8D5-4505-91BD-6680163DAE85}"/>
            </c:ext>
          </c:extLst>
        </c:ser>
        <c:dLbls>
          <c:showLegendKey val="0"/>
          <c:showVal val="0"/>
          <c:showCatName val="0"/>
          <c:showSerName val="0"/>
          <c:showPercent val="0"/>
          <c:showBubbleSize val="0"/>
        </c:dLbls>
        <c:gapWidth val="219"/>
        <c:overlap val="-27"/>
        <c:axId val="481621032"/>
        <c:axId val="481620376"/>
      </c:barChart>
      <c:catAx>
        <c:axId val="481621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81620376"/>
        <c:crosses val="autoZero"/>
        <c:auto val="1"/>
        <c:lblAlgn val="ctr"/>
        <c:lblOffset val="100"/>
        <c:noMultiLvlLbl val="0"/>
      </c:catAx>
      <c:valAx>
        <c:axId val="481620376"/>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Volume of sales ('000)</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816210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NRT_Report!$A$12</c:f>
              <c:strCache>
                <c:ptCount val="1"/>
                <c:pt idx="0">
                  <c:v>NRT Gum ('000 units)</c:v>
                </c:pt>
              </c:strCache>
            </c:strRef>
          </c:tx>
          <c:spPr>
            <a:ln w="28575" cap="rnd">
              <a:solidFill>
                <a:schemeClr val="accent2"/>
              </a:solidFill>
              <a:round/>
            </a:ln>
            <a:effectLst/>
          </c:spPr>
          <c:marker>
            <c:symbol val="none"/>
          </c:marker>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NRT_Report!$B$12:$P$12</c:f>
              <c:numCache>
                <c:formatCode>#,##0.0</c:formatCode>
                <c:ptCount val="15"/>
                <c:pt idx="0">
                  <c:v>88156.800000000003</c:v>
                </c:pt>
                <c:pt idx="1">
                  <c:v>91089</c:v>
                </c:pt>
                <c:pt idx="2">
                  <c:v>99699</c:v>
                </c:pt>
                <c:pt idx="3">
                  <c:v>107963</c:v>
                </c:pt>
                <c:pt idx="4">
                  <c:v>114571</c:v>
                </c:pt>
                <c:pt idx="5">
                  <c:v>122709</c:v>
                </c:pt>
                <c:pt idx="6">
                  <c:v>128154</c:v>
                </c:pt>
                <c:pt idx="7">
                  <c:v>132862</c:v>
                </c:pt>
                <c:pt idx="8">
                  <c:v>137722</c:v>
                </c:pt>
                <c:pt idx="9">
                  <c:v>143914</c:v>
                </c:pt>
                <c:pt idx="10">
                  <c:v>161341</c:v>
                </c:pt>
                <c:pt idx="11">
                  <c:v>175557</c:v>
                </c:pt>
                <c:pt idx="12">
                  <c:v>185894</c:v>
                </c:pt>
                <c:pt idx="13">
                  <c:v>190229</c:v>
                </c:pt>
                <c:pt idx="14">
                  <c:v>194001</c:v>
                </c:pt>
              </c:numCache>
            </c:numRef>
          </c:val>
          <c:smooth val="0"/>
          <c:extLst>
            <c:ext xmlns:c16="http://schemas.microsoft.com/office/drawing/2014/chart" uri="{C3380CC4-5D6E-409C-BE32-E72D297353CC}">
              <c16:uniqueId val="{00000000-ED17-495D-8C57-430213CD7F13}"/>
            </c:ext>
          </c:extLst>
        </c:ser>
        <c:ser>
          <c:idx val="2"/>
          <c:order val="1"/>
          <c:tx>
            <c:strRef>
              <c:f>NRT_Report!$A$13</c:f>
              <c:strCache>
                <c:ptCount val="1"/>
                <c:pt idx="0">
                  <c:v>NRT Inhalators ('000 units)</c:v>
                </c:pt>
              </c:strCache>
            </c:strRef>
          </c:tx>
          <c:spPr>
            <a:ln w="28575" cap="rnd">
              <a:solidFill>
                <a:schemeClr val="accent3"/>
              </a:solidFill>
              <a:round/>
            </a:ln>
            <a:effectLst/>
          </c:spPr>
          <c:marker>
            <c:symbol val="none"/>
          </c:marker>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NRT_Report!$B$13:$P$13</c:f>
              <c:numCache>
                <c:formatCode>#,##0.0</c:formatCode>
                <c:ptCount val="15"/>
                <c:pt idx="0">
                  <c:v>1322.9756786027001</c:v>
                </c:pt>
                <c:pt idx="1">
                  <c:v>1533.06591002</c:v>
                </c:pt>
                <c:pt idx="2">
                  <c:v>1656.3364594431</c:v>
                </c:pt>
                <c:pt idx="3">
                  <c:v>1753.032462527</c:v>
                </c:pt>
                <c:pt idx="4">
                  <c:v>1865.3236840575</c:v>
                </c:pt>
                <c:pt idx="5">
                  <c:v>1961.2192048106999</c:v>
                </c:pt>
                <c:pt idx="6">
                  <c:v>1938.7585006720001</c:v>
                </c:pt>
                <c:pt idx="7">
                  <c:v>2006.6169974664999</c:v>
                </c:pt>
                <c:pt idx="8">
                  <c:v>2063.0951796519998</c:v>
                </c:pt>
                <c:pt idx="9">
                  <c:v>2115.5795620806002</c:v>
                </c:pt>
                <c:pt idx="10">
                  <c:v>2136.2572439451001</c:v>
                </c:pt>
                <c:pt idx="11">
                  <c:v>2157.8439712764002</c:v>
                </c:pt>
                <c:pt idx="12">
                  <c:v>2153.6135064148002</c:v>
                </c:pt>
                <c:pt idx="13">
                  <c:v>2168.2038684745999</c:v>
                </c:pt>
                <c:pt idx="14">
                  <c:v>2179.0448902633998</c:v>
                </c:pt>
              </c:numCache>
            </c:numRef>
          </c:val>
          <c:smooth val="0"/>
          <c:extLst>
            <c:ext xmlns:c16="http://schemas.microsoft.com/office/drawing/2014/chart" uri="{C3380CC4-5D6E-409C-BE32-E72D297353CC}">
              <c16:uniqueId val="{00000001-ED17-495D-8C57-430213CD7F13}"/>
            </c:ext>
          </c:extLst>
        </c:ser>
        <c:ser>
          <c:idx val="3"/>
          <c:order val="2"/>
          <c:tx>
            <c:strRef>
              <c:f>NRT_Report!$A$14</c:f>
              <c:strCache>
                <c:ptCount val="1"/>
                <c:pt idx="0">
                  <c:v>NRT Lozenges ('000 units)</c:v>
                </c:pt>
              </c:strCache>
            </c:strRef>
          </c:tx>
          <c:spPr>
            <a:ln w="28575" cap="rnd">
              <a:solidFill>
                <a:schemeClr val="accent4"/>
              </a:solidFill>
              <a:round/>
            </a:ln>
            <a:effectLst/>
          </c:spPr>
          <c:marker>
            <c:symbol val="none"/>
          </c:marker>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NRT_Report!$B$14:$P$14</c:f>
              <c:numCache>
                <c:formatCode>#,##0.0</c:formatCode>
                <c:ptCount val="15"/>
                <c:pt idx="0">
                  <c:v>24259</c:v>
                </c:pt>
                <c:pt idx="1">
                  <c:v>35139</c:v>
                </c:pt>
                <c:pt idx="2">
                  <c:v>39510</c:v>
                </c:pt>
                <c:pt idx="3">
                  <c:v>43900</c:v>
                </c:pt>
                <c:pt idx="4">
                  <c:v>48324</c:v>
                </c:pt>
                <c:pt idx="5">
                  <c:v>53063</c:v>
                </c:pt>
                <c:pt idx="6">
                  <c:v>58733</c:v>
                </c:pt>
                <c:pt idx="7">
                  <c:v>63892</c:v>
                </c:pt>
                <c:pt idx="8">
                  <c:v>68651</c:v>
                </c:pt>
                <c:pt idx="9">
                  <c:v>58006</c:v>
                </c:pt>
                <c:pt idx="10">
                  <c:v>28286</c:v>
                </c:pt>
                <c:pt idx="11">
                  <c:v>35052</c:v>
                </c:pt>
                <c:pt idx="12">
                  <c:v>39868</c:v>
                </c:pt>
                <c:pt idx="13">
                  <c:v>41685</c:v>
                </c:pt>
                <c:pt idx="14">
                  <c:v>43198</c:v>
                </c:pt>
              </c:numCache>
            </c:numRef>
          </c:val>
          <c:smooth val="0"/>
          <c:extLst>
            <c:ext xmlns:c16="http://schemas.microsoft.com/office/drawing/2014/chart" uri="{C3380CC4-5D6E-409C-BE32-E72D297353CC}">
              <c16:uniqueId val="{00000002-ED17-495D-8C57-430213CD7F13}"/>
            </c:ext>
          </c:extLst>
        </c:ser>
        <c:ser>
          <c:idx val="4"/>
          <c:order val="3"/>
          <c:tx>
            <c:strRef>
              <c:f>NRT_Report!$A$15</c:f>
              <c:strCache>
                <c:ptCount val="1"/>
                <c:pt idx="0">
                  <c:v>NRT Patches ('000 units)</c:v>
                </c:pt>
              </c:strCache>
            </c:strRef>
          </c:tx>
          <c:spPr>
            <a:ln w="28575" cap="rnd">
              <a:solidFill>
                <a:schemeClr val="accent5"/>
              </a:solidFill>
              <a:round/>
            </a:ln>
            <a:effectLst/>
          </c:spPr>
          <c:marker>
            <c:symbol val="none"/>
          </c:marker>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NRT_Report!$B$15:$P$15</c:f>
              <c:numCache>
                <c:formatCode>#,##0.0</c:formatCode>
                <c:ptCount val="15"/>
                <c:pt idx="0">
                  <c:v>12422</c:v>
                </c:pt>
                <c:pt idx="1">
                  <c:v>13375</c:v>
                </c:pt>
                <c:pt idx="2">
                  <c:v>14119</c:v>
                </c:pt>
                <c:pt idx="3">
                  <c:v>14748</c:v>
                </c:pt>
                <c:pt idx="4">
                  <c:v>15648</c:v>
                </c:pt>
                <c:pt idx="5">
                  <c:v>16572</c:v>
                </c:pt>
                <c:pt idx="6">
                  <c:v>16748</c:v>
                </c:pt>
                <c:pt idx="7">
                  <c:v>17576</c:v>
                </c:pt>
                <c:pt idx="8">
                  <c:v>18324</c:v>
                </c:pt>
                <c:pt idx="9">
                  <c:v>18379</c:v>
                </c:pt>
                <c:pt idx="10">
                  <c:v>17273</c:v>
                </c:pt>
                <c:pt idx="11">
                  <c:v>17294</c:v>
                </c:pt>
                <c:pt idx="12">
                  <c:v>17277</c:v>
                </c:pt>
                <c:pt idx="13">
                  <c:v>17311</c:v>
                </c:pt>
                <c:pt idx="14">
                  <c:v>17350</c:v>
                </c:pt>
              </c:numCache>
            </c:numRef>
          </c:val>
          <c:smooth val="0"/>
          <c:extLst>
            <c:ext xmlns:c16="http://schemas.microsoft.com/office/drawing/2014/chart" uri="{C3380CC4-5D6E-409C-BE32-E72D297353CC}">
              <c16:uniqueId val="{00000003-ED17-495D-8C57-430213CD7F13}"/>
            </c:ext>
          </c:extLst>
        </c:ser>
        <c:ser>
          <c:idx val="5"/>
          <c:order val="4"/>
          <c:tx>
            <c:strRef>
              <c:f>NRT_Report!$A$16</c:f>
              <c:strCache>
                <c:ptCount val="1"/>
                <c:pt idx="0">
                  <c:v>Other NRT ('000 units)</c:v>
                </c:pt>
              </c:strCache>
            </c:strRef>
          </c:tx>
          <c:spPr>
            <a:ln w="28575" cap="rnd">
              <a:solidFill>
                <a:schemeClr val="accent6"/>
              </a:solidFill>
              <a:round/>
            </a:ln>
            <a:effectLst/>
          </c:spPr>
          <c:marker>
            <c:symbol val="none"/>
          </c:marker>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NRT_Report!$B$16:$P$16</c:f>
              <c:numCache>
                <c:formatCode>#,##0.0</c:formatCode>
                <c:ptCount val="15"/>
                <c:pt idx="0">
                  <c:v>113.79559708399999</c:v>
                </c:pt>
                <c:pt idx="1">
                  <c:v>95.603200595900006</c:v>
                </c:pt>
                <c:pt idx="2">
                  <c:v>80.348550578699999</c:v>
                </c:pt>
                <c:pt idx="3">
                  <c:v>66.989016778000007</c:v>
                </c:pt>
                <c:pt idx="4">
                  <c:v>57.924425324300003</c:v>
                </c:pt>
                <c:pt idx="5">
                  <c:v>50.6537345805</c:v>
                </c:pt>
                <c:pt idx="6">
                  <c:v>46.385911890800003</c:v>
                </c:pt>
                <c:pt idx="7">
                  <c:v>117.8309333693</c:v>
                </c:pt>
                <c:pt idx="8">
                  <c:v>156.3274592201</c:v>
                </c:pt>
                <c:pt idx="9">
                  <c:v>298.1874860113</c:v>
                </c:pt>
                <c:pt idx="10">
                  <c:v>411.84874543230001</c:v>
                </c:pt>
                <c:pt idx="11">
                  <c:v>489.61542424660001</c:v>
                </c:pt>
                <c:pt idx="12">
                  <c:v>564.57251561889996</c:v>
                </c:pt>
                <c:pt idx="13">
                  <c:v>601.23310379509996</c:v>
                </c:pt>
                <c:pt idx="14">
                  <c:v>635.08181745989998</c:v>
                </c:pt>
              </c:numCache>
            </c:numRef>
          </c:val>
          <c:smooth val="0"/>
          <c:extLst>
            <c:ext xmlns:c16="http://schemas.microsoft.com/office/drawing/2014/chart" uri="{C3380CC4-5D6E-409C-BE32-E72D297353CC}">
              <c16:uniqueId val="{00000004-ED17-495D-8C57-430213CD7F13}"/>
            </c:ext>
          </c:extLst>
        </c:ser>
        <c:dLbls>
          <c:showLegendKey val="0"/>
          <c:showVal val="0"/>
          <c:showCatName val="0"/>
          <c:showSerName val="0"/>
          <c:showPercent val="0"/>
          <c:showBubbleSize val="0"/>
        </c:dLbls>
        <c:smooth val="0"/>
        <c:axId val="572175672"/>
        <c:axId val="572171736"/>
      </c:lineChart>
      <c:catAx>
        <c:axId val="572175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2171736"/>
        <c:crosses val="autoZero"/>
        <c:auto val="1"/>
        <c:lblAlgn val="ctr"/>
        <c:lblOffset val="100"/>
        <c:noMultiLvlLbl val="0"/>
      </c:catAx>
      <c:valAx>
        <c:axId val="572171736"/>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Volume of sales ('000)</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2175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NRT_Report!$A$52</c:f>
              <c:strCache>
                <c:ptCount val="1"/>
                <c:pt idx="0">
                  <c:v>Total</c:v>
                </c:pt>
              </c:strCache>
            </c:strRef>
          </c:tx>
          <c:spPr>
            <a:solidFill>
              <a:schemeClr val="accent2"/>
            </a:solidFill>
            <a:ln>
              <a:noFill/>
            </a:ln>
            <a:effectLst/>
          </c:spPr>
          <c:invertIfNegative val="0"/>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NRT_Report!$B$52:$P$52</c:f>
              <c:numCache>
                <c:formatCode>General</c:formatCode>
                <c:ptCount val="15"/>
                <c:pt idx="0">
                  <c:v>81.100000000000009</c:v>
                </c:pt>
                <c:pt idx="1">
                  <c:v>89.899999999999991</c:v>
                </c:pt>
                <c:pt idx="2">
                  <c:v>96.6</c:v>
                </c:pt>
                <c:pt idx="3">
                  <c:v>102.80000000000001</c:v>
                </c:pt>
                <c:pt idx="4">
                  <c:v>109.6</c:v>
                </c:pt>
                <c:pt idx="5">
                  <c:v>116.9</c:v>
                </c:pt>
                <c:pt idx="6">
                  <c:v>121.7</c:v>
                </c:pt>
                <c:pt idx="7">
                  <c:v>130.1</c:v>
                </c:pt>
                <c:pt idx="8">
                  <c:v>137.4</c:v>
                </c:pt>
                <c:pt idx="9">
                  <c:v>138.30000000000001</c:v>
                </c:pt>
                <c:pt idx="10">
                  <c:v>128.79999999999998</c:v>
                </c:pt>
                <c:pt idx="11">
                  <c:v>138.30000000000001</c:v>
                </c:pt>
                <c:pt idx="12">
                  <c:v>145.70000000000002</c:v>
                </c:pt>
                <c:pt idx="13">
                  <c:v>149.1</c:v>
                </c:pt>
                <c:pt idx="14">
                  <c:v>152</c:v>
                </c:pt>
              </c:numCache>
            </c:numRef>
          </c:val>
          <c:extLst>
            <c:ext xmlns:c16="http://schemas.microsoft.com/office/drawing/2014/chart" uri="{C3380CC4-5D6E-409C-BE32-E72D297353CC}">
              <c16:uniqueId val="{00000000-F8DC-478F-9470-EBBABE8FBEDB}"/>
            </c:ext>
          </c:extLst>
        </c:ser>
        <c:dLbls>
          <c:showLegendKey val="0"/>
          <c:showVal val="0"/>
          <c:showCatName val="0"/>
          <c:showSerName val="0"/>
          <c:showPercent val="0"/>
          <c:showBubbleSize val="0"/>
        </c:dLbls>
        <c:gapWidth val="219"/>
        <c:overlap val="-27"/>
        <c:axId val="537849768"/>
        <c:axId val="537849112"/>
      </c:barChart>
      <c:catAx>
        <c:axId val="537849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37849112"/>
        <c:crosses val="autoZero"/>
        <c:auto val="1"/>
        <c:lblAlgn val="ctr"/>
        <c:lblOffset val="100"/>
        <c:noMultiLvlLbl val="0"/>
      </c:catAx>
      <c:valAx>
        <c:axId val="537849112"/>
        <c:scaling>
          <c:orientation val="minMax"/>
          <c:max val="200"/>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AUD million</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37849768"/>
        <c:crosses val="autoZero"/>
        <c:crossBetween val="between"/>
        <c:majorUnit val="5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NRT_Report!$A$47</c:f>
              <c:strCache>
                <c:ptCount val="1"/>
                <c:pt idx="0">
                  <c:v>NRT Gum</c:v>
                </c:pt>
              </c:strCache>
            </c:strRef>
          </c:tx>
          <c:spPr>
            <a:ln w="28575" cap="rnd">
              <a:solidFill>
                <a:schemeClr val="accent2"/>
              </a:solidFill>
              <a:round/>
            </a:ln>
            <a:effectLst/>
          </c:spPr>
          <c:marker>
            <c:symbol val="none"/>
          </c:marker>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NRT_Report!$B$47:$P$47</c:f>
              <c:numCache>
                <c:formatCode>General</c:formatCode>
                <c:ptCount val="15"/>
                <c:pt idx="0">
                  <c:v>25.4</c:v>
                </c:pt>
                <c:pt idx="1">
                  <c:v>26.2</c:v>
                </c:pt>
                <c:pt idx="2">
                  <c:v>28.7</c:v>
                </c:pt>
                <c:pt idx="3">
                  <c:v>31.1</c:v>
                </c:pt>
                <c:pt idx="4">
                  <c:v>33</c:v>
                </c:pt>
                <c:pt idx="5">
                  <c:v>35.299999999999997</c:v>
                </c:pt>
                <c:pt idx="6">
                  <c:v>36.9</c:v>
                </c:pt>
                <c:pt idx="7">
                  <c:v>38.200000000000003</c:v>
                </c:pt>
                <c:pt idx="8">
                  <c:v>39.6</c:v>
                </c:pt>
                <c:pt idx="9">
                  <c:v>41.4</c:v>
                </c:pt>
                <c:pt idx="10">
                  <c:v>46.4</c:v>
                </c:pt>
                <c:pt idx="11">
                  <c:v>50.5</c:v>
                </c:pt>
                <c:pt idx="12">
                  <c:v>53.5</c:v>
                </c:pt>
                <c:pt idx="13">
                  <c:v>54.8</c:v>
                </c:pt>
                <c:pt idx="14">
                  <c:v>55.9</c:v>
                </c:pt>
              </c:numCache>
            </c:numRef>
          </c:val>
          <c:smooth val="0"/>
          <c:extLst>
            <c:ext xmlns:c16="http://schemas.microsoft.com/office/drawing/2014/chart" uri="{C3380CC4-5D6E-409C-BE32-E72D297353CC}">
              <c16:uniqueId val="{00000000-6D8D-42B1-9E1E-50D9B75E5A2D}"/>
            </c:ext>
          </c:extLst>
        </c:ser>
        <c:ser>
          <c:idx val="2"/>
          <c:order val="1"/>
          <c:tx>
            <c:strRef>
              <c:f>NRT_Report!$A$48</c:f>
              <c:strCache>
                <c:ptCount val="1"/>
                <c:pt idx="0">
                  <c:v>NRT Inhalators</c:v>
                </c:pt>
              </c:strCache>
            </c:strRef>
          </c:tx>
          <c:spPr>
            <a:ln w="28575" cap="rnd">
              <a:solidFill>
                <a:schemeClr val="accent3"/>
              </a:solidFill>
              <a:round/>
            </a:ln>
            <a:effectLst/>
          </c:spPr>
          <c:marker>
            <c:symbol val="none"/>
          </c:marker>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NRT_Report!$B$48:$P$48</c:f>
              <c:numCache>
                <c:formatCode>General</c:formatCode>
                <c:ptCount val="15"/>
                <c:pt idx="0">
                  <c:v>1.1000000000000001</c:v>
                </c:pt>
                <c:pt idx="1">
                  <c:v>1.3</c:v>
                </c:pt>
                <c:pt idx="2">
                  <c:v>1.4</c:v>
                </c:pt>
                <c:pt idx="3">
                  <c:v>1.5</c:v>
                </c:pt>
                <c:pt idx="4">
                  <c:v>1.6</c:v>
                </c:pt>
                <c:pt idx="5">
                  <c:v>1.7</c:v>
                </c:pt>
                <c:pt idx="6">
                  <c:v>1.7</c:v>
                </c:pt>
                <c:pt idx="7">
                  <c:v>1.7</c:v>
                </c:pt>
                <c:pt idx="8">
                  <c:v>1.8</c:v>
                </c:pt>
                <c:pt idx="9">
                  <c:v>1.8</c:v>
                </c:pt>
                <c:pt idx="10">
                  <c:v>1.8</c:v>
                </c:pt>
                <c:pt idx="11">
                  <c:v>1.8</c:v>
                </c:pt>
                <c:pt idx="12">
                  <c:v>1.8</c:v>
                </c:pt>
                <c:pt idx="13">
                  <c:v>1.9</c:v>
                </c:pt>
                <c:pt idx="14">
                  <c:v>1.9</c:v>
                </c:pt>
              </c:numCache>
            </c:numRef>
          </c:val>
          <c:smooth val="0"/>
          <c:extLst>
            <c:ext xmlns:c16="http://schemas.microsoft.com/office/drawing/2014/chart" uri="{C3380CC4-5D6E-409C-BE32-E72D297353CC}">
              <c16:uniqueId val="{00000001-6D8D-42B1-9E1E-50D9B75E5A2D}"/>
            </c:ext>
          </c:extLst>
        </c:ser>
        <c:ser>
          <c:idx val="3"/>
          <c:order val="2"/>
          <c:tx>
            <c:strRef>
              <c:f>NRT_Report!$A$49</c:f>
              <c:strCache>
                <c:ptCount val="1"/>
                <c:pt idx="0">
                  <c:v>NRT Lozenges</c:v>
                </c:pt>
              </c:strCache>
            </c:strRef>
          </c:tx>
          <c:spPr>
            <a:ln w="28575" cap="rnd">
              <a:solidFill>
                <a:schemeClr val="accent4"/>
              </a:solidFill>
              <a:round/>
            </a:ln>
            <a:effectLst/>
          </c:spPr>
          <c:marker>
            <c:symbol val="none"/>
          </c:marker>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NRT_Report!$B$49:$P$49</c:f>
              <c:numCache>
                <c:formatCode>General</c:formatCode>
                <c:ptCount val="15"/>
                <c:pt idx="0">
                  <c:v>11.6</c:v>
                </c:pt>
                <c:pt idx="1">
                  <c:v>16.8</c:v>
                </c:pt>
                <c:pt idx="2">
                  <c:v>18.899999999999999</c:v>
                </c:pt>
                <c:pt idx="3">
                  <c:v>21</c:v>
                </c:pt>
                <c:pt idx="4">
                  <c:v>23.2</c:v>
                </c:pt>
                <c:pt idx="5">
                  <c:v>25.4</c:v>
                </c:pt>
                <c:pt idx="6">
                  <c:v>28.1</c:v>
                </c:pt>
                <c:pt idx="7">
                  <c:v>30.6</c:v>
                </c:pt>
                <c:pt idx="8">
                  <c:v>32.9</c:v>
                </c:pt>
                <c:pt idx="9">
                  <c:v>27.8</c:v>
                </c:pt>
                <c:pt idx="10">
                  <c:v>13.6</c:v>
                </c:pt>
                <c:pt idx="11">
                  <c:v>16.8</c:v>
                </c:pt>
                <c:pt idx="12">
                  <c:v>19.100000000000001</c:v>
                </c:pt>
                <c:pt idx="13">
                  <c:v>20</c:v>
                </c:pt>
                <c:pt idx="14">
                  <c:v>20.7</c:v>
                </c:pt>
              </c:numCache>
            </c:numRef>
          </c:val>
          <c:smooth val="0"/>
          <c:extLst>
            <c:ext xmlns:c16="http://schemas.microsoft.com/office/drawing/2014/chart" uri="{C3380CC4-5D6E-409C-BE32-E72D297353CC}">
              <c16:uniqueId val="{00000002-6D8D-42B1-9E1E-50D9B75E5A2D}"/>
            </c:ext>
          </c:extLst>
        </c:ser>
        <c:ser>
          <c:idx val="4"/>
          <c:order val="3"/>
          <c:tx>
            <c:strRef>
              <c:f>NRT_Report!$A$50</c:f>
              <c:strCache>
                <c:ptCount val="1"/>
                <c:pt idx="0">
                  <c:v>NRT Patches</c:v>
                </c:pt>
              </c:strCache>
            </c:strRef>
          </c:tx>
          <c:spPr>
            <a:ln w="28575" cap="rnd">
              <a:solidFill>
                <a:schemeClr val="accent5"/>
              </a:solidFill>
              <a:round/>
            </a:ln>
            <a:effectLst/>
          </c:spPr>
          <c:marker>
            <c:symbol val="none"/>
          </c:marker>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NRT_Report!$B$50:$P$50</c:f>
              <c:numCache>
                <c:formatCode>General</c:formatCode>
                <c:ptCount val="15"/>
                <c:pt idx="0">
                  <c:v>39.799999999999997</c:v>
                </c:pt>
                <c:pt idx="1">
                  <c:v>42.9</c:v>
                </c:pt>
                <c:pt idx="2">
                  <c:v>45.3</c:v>
                </c:pt>
                <c:pt idx="3">
                  <c:v>47.3</c:v>
                </c:pt>
                <c:pt idx="4">
                  <c:v>50.2</c:v>
                </c:pt>
                <c:pt idx="5">
                  <c:v>53.1</c:v>
                </c:pt>
                <c:pt idx="6">
                  <c:v>53.7</c:v>
                </c:pt>
                <c:pt idx="7">
                  <c:v>56.3</c:v>
                </c:pt>
                <c:pt idx="8">
                  <c:v>58.7</c:v>
                </c:pt>
                <c:pt idx="9">
                  <c:v>58.9</c:v>
                </c:pt>
                <c:pt idx="10">
                  <c:v>55.4</c:v>
                </c:pt>
                <c:pt idx="11">
                  <c:v>55.4</c:v>
                </c:pt>
                <c:pt idx="12">
                  <c:v>55.4</c:v>
                </c:pt>
                <c:pt idx="13">
                  <c:v>55.5</c:v>
                </c:pt>
                <c:pt idx="14">
                  <c:v>55.6</c:v>
                </c:pt>
              </c:numCache>
            </c:numRef>
          </c:val>
          <c:smooth val="0"/>
          <c:extLst>
            <c:ext xmlns:c16="http://schemas.microsoft.com/office/drawing/2014/chart" uri="{C3380CC4-5D6E-409C-BE32-E72D297353CC}">
              <c16:uniqueId val="{00000003-6D8D-42B1-9E1E-50D9B75E5A2D}"/>
            </c:ext>
          </c:extLst>
        </c:ser>
        <c:ser>
          <c:idx val="5"/>
          <c:order val="4"/>
          <c:tx>
            <c:strRef>
              <c:f>NRT_Report!$A$51</c:f>
              <c:strCache>
                <c:ptCount val="1"/>
                <c:pt idx="0">
                  <c:v>Other NRT</c:v>
                </c:pt>
              </c:strCache>
            </c:strRef>
          </c:tx>
          <c:spPr>
            <a:ln w="28575" cap="rnd">
              <a:solidFill>
                <a:schemeClr val="accent6"/>
              </a:solidFill>
              <a:round/>
            </a:ln>
            <a:effectLst/>
          </c:spPr>
          <c:marker>
            <c:symbol val="none"/>
          </c:marker>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NRT_Report!$B$51:$P$51</c:f>
              <c:numCache>
                <c:formatCode>General</c:formatCode>
                <c:ptCount val="15"/>
                <c:pt idx="0">
                  <c:v>3.2</c:v>
                </c:pt>
                <c:pt idx="1">
                  <c:v>2.7</c:v>
                </c:pt>
                <c:pt idx="2">
                  <c:v>2.2999999999999998</c:v>
                </c:pt>
                <c:pt idx="3">
                  <c:v>1.9</c:v>
                </c:pt>
                <c:pt idx="4">
                  <c:v>1.6</c:v>
                </c:pt>
                <c:pt idx="5">
                  <c:v>1.4</c:v>
                </c:pt>
                <c:pt idx="6">
                  <c:v>1.3</c:v>
                </c:pt>
                <c:pt idx="7">
                  <c:v>3.3</c:v>
                </c:pt>
                <c:pt idx="8">
                  <c:v>4.4000000000000004</c:v>
                </c:pt>
                <c:pt idx="9">
                  <c:v>8.4</c:v>
                </c:pt>
                <c:pt idx="10">
                  <c:v>11.6</c:v>
                </c:pt>
                <c:pt idx="11">
                  <c:v>13.8</c:v>
                </c:pt>
                <c:pt idx="12">
                  <c:v>15.9</c:v>
                </c:pt>
                <c:pt idx="13">
                  <c:v>16.899999999999999</c:v>
                </c:pt>
                <c:pt idx="14">
                  <c:v>17.899999999999999</c:v>
                </c:pt>
              </c:numCache>
            </c:numRef>
          </c:val>
          <c:smooth val="0"/>
          <c:extLst>
            <c:ext xmlns:c16="http://schemas.microsoft.com/office/drawing/2014/chart" uri="{C3380CC4-5D6E-409C-BE32-E72D297353CC}">
              <c16:uniqueId val="{00000004-6D8D-42B1-9E1E-50D9B75E5A2D}"/>
            </c:ext>
          </c:extLst>
        </c:ser>
        <c:dLbls>
          <c:showLegendKey val="0"/>
          <c:showVal val="0"/>
          <c:showCatName val="0"/>
          <c:showSerName val="0"/>
          <c:showPercent val="0"/>
          <c:showBubbleSize val="0"/>
        </c:dLbls>
        <c:smooth val="0"/>
        <c:axId val="572174360"/>
        <c:axId val="454135448"/>
      </c:lineChart>
      <c:catAx>
        <c:axId val="572174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54135448"/>
        <c:crosses val="autoZero"/>
        <c:auto val="1"/>
        <c:lblAlgn val="ctr"/>
        <c:lblOffset val="100"/>
        <c:noMultiLvlLbl val="0"/>
      </c:catAx>
      <c:valAx>
        <c:axId val="45413544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AUD million</a:t>
                </a:r>
              </a:p>
            </c:rich>
          </c:tx>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2174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0.5436</cdr:x>
      <cdr:y>0.84583</cdr:y>
    </cdr:from>
    <cdr:to>
      <cdr:x>0.88312</cdr:x>
      <cdr:y>0.9625</cdr:y>
    </cdr:to>
    <cdr:sp macro="" textlink="">
      <cdr:nvSpPr>
        <cdr:cNvPr id="2" name="Text Box 1"/>
        <cdr:cNvSpPr txBox="1"/>
      </cdr:nvSpPr>
      <cdr:spPr>
        <a:xfrm xmlns:a="http://schemas.openxmlformats.org/drawingml/2006/main">
          <a:off x="2790824" y="1933575"/>
          <a:ext cx="1743075" cy="2667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AU" sz="1100"/>
            <a:t>Australian population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10155</Words>
  <Characters>54632</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2021-05-25T08:15:00Z</dcterms:created>
  <dcterms:modified xsi:type="dcterms:W3CDTF">2021-05-25T09:02:00Z</dcterms:modified>
</cp:coreProperties>
</file>