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2702B" w14:textId="236C7C32" w:rsidR="0015166E" w:rsidRPr="00AF7C04" w:rsidRDefault="0015166E" w:rsidP="00974A12">
      <w:pPr>
        <w:pStyle w:val="2-SectionHeading"/>
        <w:spacing w:before="0"/>
      </w:pPr>
      <w:r w:rsidRPr="00AF7C04">
        <w:t xml:space="preserve">PBS Post-market Review workplan – </w:t>
      </w:r>
      <w:r w:rsidR="00EE2C2B">
        <w:t>August</w:t>
      </w:r>
      <w:r w:rsidR="004C5B97">
        <w:t xml:space="preserve"> 2026</w:t>
      </w:r>
    </w:p>
    <w:p w14:paraId="747B4473" w14:textId="6A52DEEC" w:rsidR="0015166E" w:rsidRPr="00A2609D" w:rsidRDefault="0015166E" w:rsidP="0015166E">
      <w:pPr>
        <w:pStyle w:val="3Bodytext"/>
        <w:keepLines/>
        <w:ind w:left="0" w:firstLine="0"/>
        <w:rPr>
          <w:sz w:val="22"/>
        </w:rPr>
      </w:pPr>
      <w:r w:rsidRPr="00A2609D">
        <w:rPr>
          <w:sz w:val="22"/>
        </w:rPr>
        <w:t xml:space="preserve">There are currently no Post-market Reviews (PMRs) of medicines on the Pharmaceutical Benefits Scheme (PBS) underway. Table 1 includes information on current research projects being undertaken by the </w:t>
      </w:r>
      <w:r w:rsidR="00EE2C2B">
        <w:rPr>
          <w:sz w:val="22"/>
        </w:rPr>
        <w:t xml:space="preserve">Department at the request of the Pharmaceutical Benefits Advisory Committee (PBAC) and </w:t>
      </w:r>
      <w:r w:rsidR="004C5B97">
        <w:rPr>
          <w:rFonts w:cstheme="minorHAnsi"/>
          <w:sz w:val="22"/>
        </w:rPr>
        <w:t>in</w:t>
      </w:r>
      <w:r w:rsidRPr="00A2609D">
        <w:rPr>
          <w:sz w:val="22"/>
        </w:rPr>
        <w:t xml:space="preserve"> line with the </w:t>
      </w:r>
      <w:hyperlink r:id="rId7" w:history="1">
        <w:r w:rsidRPr="00A2609D">
          <w:rPr>
            <w:rStyle w:val="Hyperlink"/>
            <w:sz w:val="22"/>
          </w:rPr>
          <w:t>PMR Framework</w:t>
        </w:r>
      </w:hyperlink>
      <w:r w:rsidRPr="00977820">
        <w:rPr>
          <w:rFonts w:cstheme="minorHAnsi"/>
          <w:sz w:val="22"/>
        </w:rPr>
        <w:t xml:space="preserve">. </w:t>
      </w:r>
      <w:r w:rsidRPr="00A2609D">
        <w:rPr>
          <w:sz w:val="22"/>
        </w:rPr>
        <w:t xml:space="preserve"> </w:t>
      </w:r>
    </w:p>
    <w:tbl>
      <w:tblPr>
        <w:tblStyle w:val="TableGrid"/>
        <w:tblW w:w="14160" w:type="dxa"/>
        <w:tblLayout w:type="fixed"/>
        <w:tblLook w:val="04A0" w:firstRow="1" w:lastRow="0" w:firstColumn="1" w:lastColumn="0" w:noHBand="0" w:noVBand="1"/>
      </w:tblPr>
      <w:tblGrid>
        <w:gridCol w:w="2542"/>
        <w:gridCol w:w="8745"/>
        <w:gridCol w:w="2873"/>
      </w:tblGrid>
      <w:tr w:rsidR="00D3413A" w:rsidRPr="000A20DC" w14:paraId="213EDB2F" w14:textId="77777777" w:rsidTr="00A2609D">
        <w:trPr>
          <w:trHeight w:val="300"/>
          <w:tblHeader/>
        </w:trPr>
        <w:tc>
          <w:tcPr>
            <w:tcW w:w="2542" w:type="dxa"/>
            <w:tcBorders>
              <w:top w:val="single" w:sz="8" w:space="0" w:color="auto"/>
              <w:left w:val="single" w:sz="8" w:space="0" w:color="auto"/>
              <w:bottom w:val="single" w:sz="8" w:space="0" w:color="auto"/>
              <w:right w:val="single" w:sz="8" w:space="0" w:color="auto"/>
            </w:tcBorders>
            <w:shd w:val="clear" w:color="auto" w:fill="DDD9C3" w:themeFill="background2" w:themeFillShade="E6"/>
            <w:hideMark/>
          </w:tcPr>
          <w:p w14:paraId="78F80184" w14:textId="77777777" w:rsidR="00D3413A" w:rsidRPr="00A2609D" w:rsidRDefault="00D3413A" w:rsidP="00D3413A">
            <w:pPr>
              <w:rPr>
                <w:rFonts w:asciiTheme="minorHAnsi" w:hAnsiTheme="minorHAnsi"/>
                <w:b/>
                <w:color w:val="000000" w:themeColor="text1"/>
                <w:sz w:val="22"/>
              </w:rPr>
            </w:pPr>
            <w:r w:rsidRPr="00A2609D">
              <w:rPr>
                <w:rFonts w:asciiTheme="minorHAnsi" w:hAnsiTheme="minorHAnsi"/>
                <w:b/>
                <w:color w:val="000000" w:themeColor="text1"/>
                <w:sz w:val="22"/>
              </w:rPr>
              <w:t>Indication</w:t>
            </w:r>
          </w:p>
        </w:tc>
        <w:tc>
          <w:tcPr>
            <w:tcW w:w="8745" w:type="dxa"/>
            <w:tcBorders>
              <w:top w:val="single" w:sz="8" w:space="0" w:color="auto"/>
              <w:left w:val="single" w:sz="8" w:space="0" w:color="auto"/>
              <w:bottom w:val="single" w:sz="8" w:space="0" w:color="auto"/>
              <w:right w:val="single" w:sz="8" w:space="0" w:color="auto"/>
            </w:tcBorders>
            <w:shd w:val="clear" w:color="auto" w:fill="DDD9C3" w:themeFill="background2" w:themeFillShade="E6"/>
            <w:hideMark/>
          </w:tcPr>
          <w:p w14:paraId="5D5F17D1" w14:textId="77777777" w:rsidR="00D3413A" w:rsidRPr="00A2609D" w:rsidRDefault="00D3413A" w:rsidP="00D3413A">
            <w:pPr>
              <w:rPr>
                <w:rFonts w:asciiTheme="minorHAnsi" w:hAnsiTheme="minorHAnsi"/>
                <w:b/>
                <w:color w:val="000000" w:themeColor="text1"/>
                <w:sz w:val="22"/>
              </w:rPr>
            </w:pPr>
            <w:r w:rsidRPr="00A2609D">
              <w:rPr>
                <w:rFonts w:asciiTheme="minorHAnsi" w:hAnsiTheme="minorHAnsi"/>
                <w:b/>
                <w:color w:val="000000" w:themeColor="text1"/>
                <w:sz w:val="22"/>
              </w:rPr>
              <w:t>Project title</w:t>
            </w:r>
          </w:p>
          <w:p w14:paraId="2421984D" w14:textId="77777777" w:rsidR="00D3413A" w:rsidRPr="00A2609D" w:rsidRDefault="00D3413A" w:rsidP="00D3413A">
            <w:pPr>
              <w:rPr>
                <w:rFonts w:asciiTheme="minorHAnsi" w:hAnsiTheme="minorHAnsi"/>
                <w:b/>
                <w:color w:val="000000" w:themeColor="text1"/>
                <w:sz w:val="22"/>
              </w:rPr>
            </w:pPr>
            <w:r w:rsidRPr="00A2609D">
              <w:rPr>
                <w:rFonts w:asciiTheme="minorHAnsi" w:hAnsiTheme="minorHAnsi"/>
                <w:b/>
                <w:color w:val="000000" w:themeColor="text1"/>
                <w:sz w:val="22"/>
              </w:rPr>
              <w:t>Background, Status and Next steps</w:t>
            </w:r>
          </w:p>
        </w:tc>
        <w:tc>
          <w:tcPr>
            <w:tcW w:w="2873" w:type="dxa"/>
            <w:tcBorders>
              <w:top w:val="single" w:sz="8" w:space="0" w:color="auto"/>
              <w:left w:val="single" w:sz="8" w:space="0" w:color="auto"/>
              <w:bottom w:val="single" w:sz="8" w:space="0" w:color="auto"/>
              <w:right w:val="single" w:sz="8" w:space="0" w:color="auto"/>
            </w:tcBorders>
            <w:shd w:val="clear" w:color="auto" w:fill="DDD9C3" w:themeFill="background2" w:themeFillShade="E6"/>
            <w:hideMark/>
          </w:tcPr>
          <w:p w14:paraId="37DC809D" w14:textId="77777777" w:rsidR="00D3413A" w:rsidRPr="00A2609D" w:rsidRDefault="00D3413A" w:rsidP="00D3413A">
            <w:pPr>
              <w:rPr>
                <w:rFonts w:asciiTheme="minorHAnsi" w:hAnsiTheme="minorHAnsi"/>
                <w:b/>
                <w:color w:val="000000" w:themeColor="text1"/>
                <w:sz w:val="22"/>
              </w:rPr>
            </w:pPr>
            <w:r w:rsidRPr="00A2609D">
              <w:rPr>
                <w:rFonts w:asciiTheme="minorHAnsi" w:hAnsiTheme="minorHAnsi"/>
                <w:b/>
                <w:color w:val="000000" w:themeColor="text1"/>
                <w:sz w:val="22"/>
              </w:rPr>
              <w:t>Medicines</w:t>
            </w:r>
          </w:p>
        </w:tc>
      </w:tr>
      <w:tr w:rsidR="00D3413A" w:rsidRPr="000A20DC" w14:paraId="4651EB13" w14:textId="77777777" w:rsidTr="00A2609D">
        <w:trPr>
          <w:trHeight w:val="300"/>
        </w:trPr>
        <w:tc>
          <w:tcPr>
            <w:tcW w:w="2542" w:type="dxa"/>
            <w:tcBorders>
              <w:top w:val="single" w:sz="8" w:space="0" w:color="auto"/>
              <w:left w:val="single" w:sz="8" w:space="0" w:color="auto"/>
              <w:bottom w:val="single" w:sz="8" w:space="0" w:color="auto"/>
              <w:right w:val="single" w:sz="8" w:space="0" w:color="auto"/>
            </w:tcBorders>
          </w:tcPr>
          <w:p w14:paraId="036B4CE1"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Type 2 diabetes mellitus (T2DM)</w:t>
            </w:r>
          </w:p>
          <w:p w14:paraId="46710D0F" w14:textId="77777777" w:rsidR="00D3413A" w:rsidRPr="000A20DC" w:rsidRDefault="00D3413A" w:rsidP="00D3413A">
            <w:pPr>
              <w:rPr>
                <w:rFonts w:asciiTheme="minorHAnsi" w:eastAsiaTheme="minorHAnsi" w:hAnsiTheme="minorHAnsi" w:cstheme="minorHAnsi"/>
                <w:sz w:val="22"/>
                <w:szCs w:val="22"/>
                <w:lang w:eastAsia="en-US"/>
              </w:rPr>
            </w:pPr>
          </w:p>
        </w:tc>
        <w:tc>
          <w:tcPr>
            <w:tcW w:w="8745" w:type="dxa"/>
            <w:tcBorders>
              <w:top w:val="single" w:sz="8" w:space="0" w:color="auto"/>
              <w:left w:val="single" w:sz="8" w:space="0" w:color="auto"/>
              <w:bottom w:val="single" w:sz="8" w:space="0" w:color="auto"/>
              <w:right w:val="single" w:sz="8" w:space="0" w:color="auto"/>
            </w:tcBorders>
            <w:hideMark/>
          </w:tcPr>
          <w:p w14:paraId="7A0ED090" w14:textId="083F0178" w:rsidR="00D3413A" w:rsidRPr="000A20DC" w:rsidRDefault="009A7E74" w:rsidP="00D3413A">
            <w:pPr>
              <w:rPr>
                <w:rFonts w:asciiTheme="minorHAnsi" w:eastAsiaTheme="minorHAnsi" w:hAnsiTheme="minorHAnsi" w:cstheme="minorHAnsi"/>
                <w:b/>
                <w:bCs/>
                <w:sz w:val="22"/>
                <w:szCs w:val="22"/>
                <w:lang w:eastAsia="en-US"/>
              </w:rPr>
            </w:pPr>
            <w:r w:rsidRPr="006B78FD">
              <w:rPr>
                <w:rFonts w:asciiTheme="minorHAnsi" w:eastAsiaTheme="minorHAnsi" w:hAnsiTheme="minorHAnsi" w:cstheme="minorHAnsi"/>
                <w:b/>
                <w:bCs/>
                <w:sz w:val="22"/>
                <w:szCs w:val="22"/>
                <w:lang w:eastAsia="en-US"/>
              </w:rPr>
              <w:t>Util</w:t>
            </w:r>
            <w:r w:rsidRPr="000A20DC">
              <w:rPr>
                <w:rFonts w:asciiTheme="minorHAnsi" w:eastAsiaTheme="minorHAnsi" w:hAnsiTheme="minorHAnsi" w:cstheme="minorHAnsi"/>
                <w:b/>
                <w:bCs/>
                <w:sz w:val="22"/>
                <w:szCs w:val="22"/>
                <w:lang w:eastAsia="en-US"/>
              </w:rPr>
              <w:t xml:space="preserve">isation of GLP-1 </w:t>
            </w:r>
            <w:r w:rsidR="00D3413A" w:rsidRPr="000A20DC">
              <w:rPr>
                <w:rFonts w:asciiTheme="minorHAnsi" w:eastAsiaTheme="minorHAnsi" w:hAnsiTheme="minorHAnsi" w:cstheme="minorHAnsi"/>
                <w:b/>
                <w:bCs/>
                <w:sz w:val="22"/>
                <w:szCs w:val="22"/>
                <w:lang w:eastAsia="en-US"/>
              </w:rPr>
              <w:t>medicines</w:t>
            </w:r>
          </w:p>
          <w:p w14:paraId="605D2F2A" w14:textId="77777777" w:rsidR="004C1521" w:rsidRPr="000A20DC" w:rsidRDefault="004C1521" w:rsidP="00D3413A">
            <w:pPr>
              <w:rPr>
                <w:rFonts w:asciiTheme="minorHAnsi" w:eastAsiaTheme="minorHAnsi" w:hAnsiTheme="minorHAnsi" w:cstheme="minorHAnsi"/>
                <w:b/>
                <w:bCs/>
                <w:sz w:val="22"/>
                <w:szCs w:val="22"/>
                <w:lang w:eastAsia="en-US"/>
              </w:rPr>
            </w:pPr>
          </w:p>
          <w:p w14:paraId="25641588"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b/>
                <w:bCs/>
                <w:sz w:val="22"/>
                <w:szCs w:val="22"/>
                <w:lang w:eastAsia="en-US"/>
              </w:rPr>
              <w:t>Background</w:t>
            </w:r>
          </w:p>
          <w:p w14:paraId="44B09AA2" w14:textId="7BEE5FF4" w:rsidR="009A7E74"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In </w:t>
            </w:r>
            <w:r w:rsidR="00280DC8" w:rsidRPr="000A20DC">
              <w:rPr>
                <w:rFonts w:asciiTheme="minorHAnsi" w:eastAsiaTheme="minorHAnsi" w:hAnsiTheme="minorHAnsi" w:cstheme="minorHAnsi"/>
                <w:sz w:val="22"/>
                <w:szCs w:val="22"/>
                <w:lang w:eastAsia="en-US"/>
              </w:rPr>
              <w:t xml:space="preserve">March 2023, </w:t>
            </w:r>
            <w:r w:rsidRPr="000A20DC">
              <w:rPr>
                <w:rFonts w:asciiTheme="minorHAnsi" w:eastAsiaTheme="minorHAnsi" w:hAnsiTheme="minorHAnsi" w:cstheme="minorHAnsi"/>
                <w:sz w:val="22"/>
                <w:szCs w:val="22"/>
                <w:lang w:eastAsia="en-US"/>
              </w:rPr>
              <w:t xml:space="preserve">July 2023, </w:t>
            </w:r>
            <w:r w:rsidR="00280DC8" w:rsidRPr="000A20DC">
              <w:rPr>
                <w:rFonts w:asciiTheme="minorHAnsi" w:eastAsiaTheme="minorHAnsi" w:hAnsiTheme="minorHAnsi" w:cstheme="minorHAnsi"/>
                <w:sz w:val="22"/>
                <w:szCs w:val="22"/>
                <w:lang w:eastAsia="en-US"/>
              </w:rPr>
              <w:t xml:space="preserve">and March 2024, </w:t>
            </w:r>
            <w:r w:rsidR="004C1521" w:rsidRPr="000A20DC">
              <w:rPr>
                <w:rFonts w:asciiTheme="minorHAnsi" w:eastAsiaTheme="minorHAnsi" w:hAnsiTheme="minorHAnsi" w:cstheme="minorHAnsi"/>
                <w:sz w:val="22"/>
                <w:szCs w:val="22"/>
                <w:lang w:eastAsia="en-US"/>
              </w:rPr>
              <w:t xml:space="preserve">following an analysis of the utilisation of T2DM medicines through the PBS, </w:t>
            </w:r>
            <w:r w:rsidRPr="000A20DC">
              <w:rPr>
                <w:rFonts w:asciiTheme="minorHAnsi" w:eastAsiaTheme="minorHAnsi" w:hAnsiTheme="minorHAnsi" w:cstheme="minorHAnsi"/>
                <w:sz w:val="22"/>
                <w:szCs w:val="22"/>
                <w:lang w:eastAsia="en-US"/>
              </w:rPr>
              <w:t xml:space="preserve">the PBAC recommended several changes to the restrictions for </w:t>
            </w:r>
            <w:r w:rsidR="009A7E74" w:rsidRPr="000A20DC">
              <w:rPr>
                <w:rFonts w:asciiTheme="minorHAnsi" w:eastAsiaTheme="minorHAnsi" w:hAnsiTheme="minorHAnsi" w:cstheme="minorHAnsi"/>
                <w:sz w:val="22"/>
                <w:szCs w:val="22"/>
                <w:lang w:eastAsia="en-US"/>
              </w:rPr>
              <w:t>glucagon-like peptide-1 receptor agonists (</w:t>
            </w:r>
            <w:r w:rsidRPr="000A20DC">
              <w:rPr>
                <w:rFonts w:asciiTheme="minorHAnsi" w:eastAsiaTheme="minorHAnsi" w:hAnsiTheme="minorHAnsi" w:cstheme="minorHAnsi"/>
                <w:sz w:val="22"/>
                <w:szCs w:val="22"/>
                <w:lang w:eastAsia="en-US"/>
              </w:rPr>
              <w:t>GLP-1s</w:t>
            </w:r>
            <w:r w:rsidR="009A7E74" w:rsidRPr="000A20DC">
              <w:rPr>
                <w:rFonts w:asciiTheme="minorHAnsi" w:eastAsiaTheme="minorHAnsi" w:hAnsiTheme="minorHAnsi" w:cstheme="minorHAnsi"/>
                <w:sz w:val="22"/>
                <w:szCs w:val="22"/>
                <w:lang w:eastAsia="en-US"/>
              </w:rPr>
              <w:t>)</w:t>
            </w:r>
            <w:r w:rsidRPr="000A20DC">
              <w:rPr>
                <w:rFonts w:asciiTheme="minorHAnsi" w:eastAsiaTheme="minorHAnsi" w:hAnsiTheme="minorHAnsi" w:cstheme="minorHAnsi"/>
                <w:sz w:val="22"/>
                <w:szCs w:val="22"/>
                <w:lang w:eastAsia="en-US"/>
              </w:rPr>
              <w:t>. The PBAC recommended that GLP-1s be made second</w:t>
            </w:r>
            <w:r w:rsidRPr="000A20DC">
              <w:rPr>
                <w:rFonts w:asciiTheme="minorHAnsi" w:eastAsiaTheme="minorHAnsi" w:hAnsiTheme="minorHAnsi" w:cstheme="minorHAnsi"/>
                <w:sz w:val="22"/>
                <w:szCs w:val="22"/>
                <w:lang w:eastAsia="en-US"/>
              </w:rPr>
              <w:noBreakHyphen/>
              <w:t xml:space="preserve">line to </w:t>
            </w:r>
            <w:r w:rsidR="009A7E74" w:rsidRPr="000A20DC">
              <w:rPr>
                <w:rFonts w:asciiTheme="minorHAnsi" w:eastAsiaTheme="minorHAnsi" w:hAnsiTheme="minorHAnsi" w:cstheme="minorHAnsi"/>
                <w:sz w:val="22"/>
                <w:szCs w:val="22"/>
                <w:lang w:eastAsia="en-US"/>
              </w:rPr>
              <w:t>sodium-glucose co-transporter 2 (</w:t>
            </w:r>
            <w:r w:rsidRPr="000A20DC">
              <w:rPr>
                <w:rFonts w:asciiTheme="minorHAnsi" w:eastAsiaTheme="minorHAnsi" w:hAnsiTheme="minorHAnsi" w:cstheme="minorHAnsi"/>
                <w:sz w:val="22"/>
                <w:szCs w:val="22"/>
                <w:lang w:eastAsia="en-US"/>
              </w:rPr>
              <w:t>SGLT2</w:t>
            </w:r>
            <w:r w:rsidR="009A7E74" w:rsidRPr="000A20DC">
              <w:rPr>
                <w:rFonts w:asciiTheme="minorHAnsi" w:eastAsiaTheme="minorHAnsi" w:hAnsiTheme="minorHAnsi" w:cstheme="minorHAnsi"/>
                <w:sz w:val="22"/>
                <w:szCs w:val="22"/>
                <w:lang w:eastAsia="en-US"/>
              </w:rPr>
              <w:t>)</w:t>
            </w:r>
            <w:r w:rsidRPr="000A20DC">
              <w:rPr>
                <w:rFonts w:asciiTheme="minorHAnsi" w:eastAsiaTheme="minorHAnsi" w:hAnsiTheme="minorHAnsi" w:cstheme="minorHAnsi"/>
                <w:sz w:val="22"/>
                <w:szCs w:val="22"/>
                <w:lang w:eastAsia="en-US"/>
              </w:rPr>
              <w:t xml:space="preserve"> inhibitors and </w:t>
            </w:r>
            <w:r w:rsidR="009A7E74" w:rsidRPr="000A20DC">
              <w:rPr>
                <w:rFonts w:asciiTheme="minorHAnsi" w:eastAsiaTheme="minorHAnsi" w:hAnsiTheme="minorHAnsi" w:cstheme="minorHAnsi"/>
                <w:sz w:val="22"/>
                <w:szCs w:val="22"/>
                <w:lang w:eastAsia="en-US"/>
              </w:rPr>
              <w:t xml:space="preserve">that the restriction level for GLP-1 initiation be </w:t>
            </w:r>
            <w:r w:rsidRPr="000A20DC">
              <w:rPr>
                <w:rFonts w:asciiTheme="minorHAnsi" w:eastAsiaTheme="minorHAnsi" w:hAnsiTheme="minorHAnsi" w:cstheme="minorHAnsi"/>
                <w:sz w:val="22"/>
                <w:szCs w:val="22"/>
                <w:lang w:eastAsia="en-US"/>
              </w:rPr>
              <w:t>change</w:t>
            </w:r>
            <w:r w:rsidR="009A7E74" w:rsidRPr="000A20DC">
              <w:rPr>
                <w:rFonts w:asciiTheme="minorHAnsi" w:eastAsiaTheme="minorHAnsi" w:hAnsiTheme="minorHAnsi" w:cstheme="minorHAnsi"/>
                <w:sz w:val="22"/>
                <w:szCs w:val="22"/>
                <w:lang w:eastAsia="en-US"/>
              </w:rPr>
              <w:t>d</w:t>
            </w:r>
            <w:r w:rsidRPr="000A20DC">
              <w:rPr>
                <w:rFonts w:asciiTheme="minorHAnsi" w:eastAsiaTheme="minorHAnsi" w:hAnsiTheme="minorHAnsi" w:cstheme="minorHAnsi"/>
                <w:sz w:val="22"/>
                <w:szCs w:val="22"/>
                <w:lang w:eastAsia="en-US"/>
              </w:rPr>
              <w:t xml:space="preserve"> to a telephone/electronic authority. </w:t>
            </w:r>
            <w:r w:rsidR="00280DC8" w:rsidRPr="000A20DC">
              <w:rPr>
                <w:rFonts w:asciiTheme="minorHAnsi" w:eastAsiaTheme="minorHAnsi" w:hAnsiTheme="minorHAnsi" w:cstheme="minorHAnsi"/>
                <w:sz w:val="22"/>
                <w:szCs w:val="22"/>
                <w:lang w:eastAsia="en-US"/>
              </w:rPr>
              <w:t xml:space="preserve">These changes were implemented on 1 </w:t>
            </w:r>
            <w:r w:rsidRPr="000A20DC">
              <w:rPr>
                <w:rFonts w:asciiTheme="minorHAnsi" w:eastAsiaTheme="minorHAnsi" w:hAnsiTheme="minorHAnsi" w:cstheme="minorHAnsi"/>
                <w:sz w:val="22"/>
                <w:szCs w:val="22"/>
                <w:lang w:eastAsia="en-US"/>
              </w:rPr>
              <w:t>June 2024</w:t>
            </w:r>
            <w:r w:rsidR="00280DC8" w:rsidRPr="000A20DC">
              <w:rPr>
                <w:rFonts w:asciiTheme="minorHAnsi" w:eastAsiaTheme="minorHAnsi" w:hAnsiTheme="minorHAnsi" w:cstheme="minorHAnsi"/>
                <w:sz w:val="22"/>
                <w:szCs w:val="22"/>
                <w:lang w:eastAsia="en-US"/>
              </w:rPr>
              <w:t xml:space="preserve"> and </w:t>
            </w:r>
            <w:r w:rsidRPr="000A20DC">
              <w:rPr>
                <w:rFonts w:asciiTheme="minorHAnsi" w:eastAsiaTheme="minorHAnsi" w:hAnsiTheme="minorHAnsi" w:cstheme="minorHAnsi"/>
                <w:sz w:val="22"/>
                <w:szCs w:val="22"/>
                <w:lang w:eastAsia="en-US"/>
              </w:rPr>
              <w:t xml:space="preserve">were accompanied by stakeholder communication and educational materials </w:t>
            </w:r>
            <w:r w:rsidR="009A7E74" w:rsidRPr="000A20DC">
              <w:rPr>
                <w:rFonts w:asciiTheme="minorHAnsi" w:eastAsiaTheme="minorHAnsi" w:hAnsiTheme="minorHAnsi" w:cstheme="minorHAnsi"/>
                <w:sz w:val="22"/>
                <w:szCs w:val="22"/>
                <w:lang w:eastAsia="en-US"/>
              </w:rPr>
              <w:t>(</w:t>
            </w:r>
            <w:hyperlink r:id="rId8" w:history="1">
              <w:r w:rsidR="004C1521" w:rsidRPr="000A20DC">
                <w:rPr>
                  <w:rStyle w:val="Hyperlink"/>
                  <w:rFonts w:asciiTheme="minorHAnsi" w:eastAsiaTheme="minorHAnsi" w:hAnsiTheme="minorHAnsi" w:cstheme="minorHAnsi"/>
                  <w:sz w:val="22"/>
                  <w:szCs w:val="22"/>
                  <w:lang w:eastAsia="en-US"/>
                </w:rPr>
                <w:t>PBS restriction changes to type 2 diabetes mellitus (T2DM) medicines</w:t>
              </w:r>
            </w:hyperlink>
            <w:r w:rsidR="009A7E74" w:rsidRPr="00E731B1">
              <w:rPr>
                <w:rFonts w:asciiTheme="minorHAnsi" w:hAnsiTheme="minorHAnsi" w:cstheme="minorHAnsi"/>
                <w:sz w:val="22"/>
                <w:szCs w:val="22"/>
              </w:rPr>
              <w:t>)</w:t>
            </w:r>
            <w:r w:rsidRPr="000A20DC">
              <w:rPr>
                <w:rFonts w:asciiTheme="minorHAnsi" w:eastAsiaTheme="minorHAnsi" w:hAnsiTheme="minorHAnsi" w:cstheme="minorHAnsi"/>
                <w:sz w:val="22"/>
                <w:szCs w:val="22"/>
                <w:lang w:eastAsia="en-US"/>
              </w:rPr>
              <w:t xml:space="preserve">. </w:t>
            </w:r>
            <w:r w:rsidR="009A7E74" w:rsidRPr="000A20DC">
              <w:rPr>
                <w:rFonts w:asciiTheme="minorHAnsi" w:eastAsiaTheme="minorHAnsi" w:hAnsiTheme="minorHAnsi" w:cstheme="minorHAnsi"/>
                <w:sz w:val="22"/>
                <w:szCs w:val="22"/>
                <w:lang w:eastAsia="en-US"/>
              </w:rPr>
              <w:t xml:space="preserve">The PBAC recommended that the effectiveness of the restriction changes be reviewed 12-24 months after the restriction change. </w:t>
            </w:r>
          </w:p>
          <w:p w14:paraId="33345711" w14:textId="77777777" w:rsidR="004C1521" w:rsidRPr="000A20DC" w:rsidRDefault="004C1521" w:rsidP="00D3413A">
            <w:pPr>
              <w:rPr>
                <w:rFonts w:asciiTheme="minorHAnsi" w:eastAsiaTheme="minorHAnsi" w:hAnsiTheme="minorHAnsi" w:cstheme="minorHAnsi"/>
                <w:sz w:val="22"/>
                <w:szCs w:val="22"/>
                <w:lang w:eastAsia="en-US"/>
              </w:rPr>
            </w:pPr>
          </w:p>
          <w:p w14:paraId="5655BFCA"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b/>
                <w:bCs/>
                <w:sz w:val="22"/>
                <w:szCs w:val="22"/>
                <w:lang w:eastAsia="en-US"/>
              </w:rPr>
              <w:t>Next steps</w:t>
            </w:r>
          </w:p>
          <w:p w14:paraId="43A7004F" w14:textId="0851167E" w:rsidR="00D3413A" w:rsidRPr="000A20DC" w:rsidRDefault="009A7E74"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The Department </w:t>
            </w:r>
            <w:r w:rsidR="00E731B1">
              <w:rPr>
                <w:rFonts w:asciiTheme="minorHAnsi" w:eastAsiaTheme="minorHAnsi" w:hAnsiTheme="minorHAnsi" w:cstheme="minorHAnsi"/>
                <w:sz w:val="22"/>
                <w:szCs w:val="22"/>
                <w:lang w:eastAsia="en-US"/>
              </w:rPr>
              <w:t>will</w:t>
            </w:r>
            <w:r w:rsidR="007A5E7E" w:rsidRPr="000A20DC">
              <w:rPr>
                <w:rFonts w:asciiTheme="minorHAnsi" w:eastAsiaTheme="minorHAnsi" w:hAnsiTheme="minorHAnsi" w:cstheme="minorHAnsi"/>
                <w:sz w:val="22"/>
                <w:szCs w:val="22"/>
                <w:lang w:eastAsia="en-US"/>
              </w:rPr>
              <w:t xml:space="preserve"> </w:t>
            </w:r>
            <w:r w:rsidRPr="000A20DC">
              <w:rPr>
                <w:rFonts w:asciiTheme="minorHAnsi" w:eastAsiaTheme="minorHAnsi" w:hAnsiTheme="minorHAnsi" w:cstheme="minorHAnsi"/>
                <w:sz w:val="22"/>
                <w:szCs w:val="22"/>
                <w:lang w:eastAsia="en-US"/>
              </w:rPr>
              <w:t xml:space="preserve">review GLP-1 utilisation through PBS and </w:t>
            </w:r>
            <w:proofErr w:type="spellStart"/>
            <w:r w:rsidRPr="000A20DC">
              <w:rPr>
                <w:rFonts w:asciiTheme="minorHAnsi" w:eastAsiaTheme="minorHAnsi" w:hAnsiTheme="minorHAnsi" w:cstheme="minorHAnsi"/>
                <w:sz w:val="22"/>
                <w:szCs w:val="22"/>
                <w:lang w:eastAsia="en-US"/>
              </w:rPr>
              <w:t>MedicineInsight</w:t>
            </w:r>
            <w:proofErr w:type="spellEnd"/>
            <w:r w:rsidRPr="000A20DC">
              <w:rPr>
                <w:rFonts w:asciiTheme="minorHAnsi" w:eastAsiaTheme="minorHAnsi" w:hAnsiTheme="minorHAnsi" w:cstheme="minorHAnsi"/>
                <w:sz w:val="22"/>
                <w:szCs w:val="22"/>
                <w:lang w:eastAsia="en-US"/>
              </w:rPr>
              <w:t xml:space="preserve"> data</w:t>
            </w:r>
            <w:r w:rsidR="00E731B1">
              <w:rPr>
                <w:rFonts w:asciiTheme="minorHAnsi" w:eastAsiaTheme="minorHAnsi" w:hAnsiTheme="minorHAnsi" w:cstheme="minorHAnsi"/>
                <w:sz w:val="22"/>
                <w:szCs w:val="22"/>
                <w:lang w:eastAsia="en-US"/>
              </w:rPr>
              <w:t xml:space="preserve"> for consideration at </w:t>
            </w:r>
            <w:r w:rsidR="00EE2C2B">
              <w:rPr>
                <w:rFonts w:asciiTheme="minorHAnsi" w:eastAsiaTheme="minorHAnsi" w:hAnsiTheme="minorHAnsi" w:cstheme="minorHAnsi"/>
                <w:sz w:val="22"/>
                <w:szCs w:val="22"/>
                <w:lang w:eastAsia="en-US"/>
              </w:rPr>
              <w:t>the Drug Utilisation Sub Committee (DUSC) meeting in</w:t>
            </w:r>
            <w:r w:rsidR="00E731B1">
              <w:rPr>
                <w:rFonts w:asciiTheme="minorHAnsi" w:eastAsiaTheme="minorHAnsi" w:hAnsiTheme="minorHAnsi" w:cstheme="minorHAnsi"/>
                <w:sz w:val="22"/>
                <w:szCs w:val="22"/>
                <w:lang w:eastAsia="en-US"/>
              </w:rPr>
              <w:t xml:space="preserve"> October 2026 </w:t>
            </w:r>
            <w:r w:rsidR="00EE2C2B">
              <w:rPr>
                <w:rFonts w:asciiTheme="minorHAnsi" w:eastAsiaTheme="minorHAnsi" w:hAnsiTheme="minorHAnsi" w:cstheme="minorHAnsi"/>
                <w:sz w:val="22"/>
                <w:szCs w:val="22"/>
                <w:lang w:eastAsia="en-US"/>
              </w:rPr>
              <w:t xml:space="preserve">and PBAC meeting in November 2026. </w:t>
            </w:r>
          </w:p>
          <w:p w14:paraId="32AB7F60" w14:textId="77777777" w:rsidR="00DB5C99" w:rsidRPr="000A20DC" w:rsidRDefault="00DB5C99" w:rsidP="00D3413A">
            <w:pPr>
              <w:rPr>
                <w:rFonts w:asciiTheme="minorHAnsi" w:eastAsiaTheme="minorHAnsi" w:hAnsiTheme="minorHAnsi" w:cstheme="minorHAnsi"/>
                <w:sz w:val="22"/>
                <w:szCs w:val="22"/>
                <w:lang w:eastAsia="en-US"/>
              </w:rPr>
            </w:pPr>
          </w:p>
        </w:tc>
        <w:tc>
          <w:tcPr>
            <w:tcW w:w="2873" w:type="dxa"/>
            <w:tcBorders>
              <w:top w:val="single" w:sz="8" w:space="0" w:color="auto"/>
              <w:left w:val="single" w:sz="8" w:space="0" w:color="auto"/>
              <w:bottom w:val="single" w:sz="8" w:space="0" w:color="auto"/>
              <w:right w:val="single" w:sz="8" w:space="0" w:color="auto"/>
            </w:tcBorders>
          </w:tcPr>
          <w:p w14:paraId="3F817615" w14:textId="0ABB59D4" w:rsidR="00D3413A" w:rsidRPr="000A20DC" w:rsidRDefault="00D3413A" w:rsidP="00A2609D">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GLP-1s: </w:t>
            </w:r>
          </w:p>
          <w:p w14:paraId="649BDB38" w14:textId="77777777" w:rsidR="00D3413A" w:rsidRPr="000A20DC" w:rsidRDefault="00D3413A" w:rsidP="00D3413A">
            <w:pPr>
              <w:numPr>
                <w:ilvl w:val="1"/>
                <w:numId w:val="26"/>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semaglutide</w:t>
            </w:r>
          </w:p>
          <w:p w14:paraId="4A35DA25" w14:textId="77777777" w:rsidR="00D3413A" w:rsidRPr="000A20DC" w:rsidRDefault="00D3413A" w:rsidP="00D3413A">
            <w:pPr>
              <w:numPr>
                <w:ilvl w:val="1"/>
                <w:numId w:val="26"/>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dulaglutide</w:t>
            </w:r>
          </w:p>
          <w:p w14:paraId="62C63ED4" w14:textId="7375E42D" w:rsidR="00D3413A" w:rsidRPr="000A20DC" w:rsidRDefault="00D3413A" w:rsidP="00A2609D">
            <w:pPr>
              <w:ind w:left="633"/>
              <w:rPr>
                <w:rFonts w:asciiTheme="minorHAnsi" w:eastAsiaTheme="minorHAnsi" w:hAnsiTheme="minorHAnsi" w:cstheme="minorHAnsi"/>
                <w:sz w:val="22"/>
                <w:szCs w:val="22"/>
                <w:lang w:eastAsia="en-US"/>
              </w:rPr>
            </w:pPr>
          </w:p>
          <w:p w14:paraId="6A652BE5" w14:textId="77777777" w:rsidR="00D3413A" w:rsidRPr="000A20DC" w:rsidRDefault="00D3413A" w:rsidP="00D3413A">
            <w:pPr>
              <w:rPr>
                <w:rFonts w:asciiTheme="minorHAnsi" w:eastAsiaTheme="minorHAnsi" w:hAnsiTheme="minorHAnsi" w:cstheme="minorHAnsi"/>
                <w:sz w:val="22"/>
                <w:szCs w:val="22"/>
                <w:lang w:eastAsia="en-US"/>
              </w:rPr>
            </w:pPr>
          </w:p>
        </w:tc>
      </w:tr>
      <w:tr w:rsidR="00D3413A" w:rsidRPr="000A20DC" w14:paraId="4480DEFF" w14:textId="77777777" w:rsidTr="00A2609D">
        <w:trPr>
          <w:trHeight w:val="300"/>
        </w:trPr>
        <w:tc>
          <w:tcPr>
            <w:tcW w:w="2542" w:type="dxa"/>
            <w:tcBorders>
              <w:top w:val="single" w:sz="8" w:space="0" w:color="auto"/>
              <w:left w:val="single" w:sz="8" w:space="0" w:color="auto"/>
              <w:bottom w:val="single" w:sz="8" w:space="0" w:color="auto"/>
              <w:right w:val="single" w:sz="8" w:space="0" w:color="auto"/>
            </w:tcBorders>
            <w:hideMark/>
          </w:tcPr>
          <w:p w14:paraId="4FB40D8B"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Cancer</w:t>
            </w:r>
          </w:p>
        </w:tc>
        <w:tc>
          <w:tcPr>
            <w:tcW w:w="8745" w:type="dxa"/>
            <w:tcBorders>
              <w:top w:val="single" w:sz="8" w:space="0" w:color="auto"/>
              <w:left w:val="single" w:sz="8" w:space="0" w:color="auto"/>
              <w:bottom w:val="single" w:sz="8" w:space="0" w:color="auto"/>
              <w:right w:val="single" w:sz="8" w:space="0" w:color="auto"/>
            </w:tcBorders>
            <w:hideMark/>
          </w:tcPr>
          <w:p w14:paraId="49787EF0"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Monitoring of final trial overall survival (OS) results in PBAC submissions for cancer medicines</w:t>
            </w:r>
          </w:p>
          <w:p w14:paraId="5066D341" w14:textId="77777777" w:rsidR="004C1521" w:rsidRPr="000A20DC" w:rsidRDefault="004C1521" w:rsidP="00D3413A">
            <w:pPr>
              <w:rPr>
                <w:rFonts w:asciiTheme="minorHAnsi" w:eastAsiaTheme="minorHAnsi" w:hAnsiTheme="minorHAnsi" w:cstheme="minorHAnsi"/>
                <w:sz w:val="22"/>
                <w:szCs w:val="22"/>
                <w:lang w:eastAsia="en-US"/>
              </w:rPr>
            </w:pPr>
          </w:p>
          <w:p w14:paraId="2EAA972E"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b/>
                <w:bCs/>
                <w:sz w:val="22"/>
                <w:szCs w:val="22"/>
                <w:lang w:eastAsia="en-US"/>
              </w:rPr>
              <w:t>Background</w:t>
            </w:r>
          </w:p>
          <w:p w14:paraId="2E411124" w14:textId="574F8FBE" w:rsidR="001E3185" w:rsidRDefault="001E3185" w:rsidP="001E3185">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In September 2023, following PBAC consideration of a </w:t>
            </w:r>
            <w:hyperlink r:id="rId9" w:history="1">
              <w:r w:rsidR="00D3413A" w:rsidRPr="000A20DC">
                <w:rPr>
                  <w:rStyle w:val="Hyperlink"/>
                  <w:rFonts w:asciiTheme="minorHAnsi" w:eastAsiaTheme="minorHAnsi" w:hAnsiTheme="minorHAnsi" w:cstheme="minorHAnsi"/>
                  <w:sz w:val="22"/>
                  <w:szCs w:val="22"/>
                  <w:lang w:eastAsia="en-US"/>
                </w:rPr>
                <w:t>report on cancer surrogates</w:t>
              </w:r>
            </w:hyperlink>
            <w:r w:rsidRPr="000A20DC">
              <w:rPr>
                <w:rFonts w:asciiTheme="minorHAnsi" w:eastAsiaTheme="minorHAnsi" w:hAnsiTheme="minorHAnsi" w:cstheme="minorHAnsi"/>
                <w:sz w:val="22"/>
                <w:szCs w:val="22"/>
                <w:lang w:eastAsia="en-US"/>
              </w:rPr>
              <w:t xml:space="preserve">, the Committee </w:t>
            </w:r>
            <w:r w:rsidR="00D3413A" w:rsidRPr="000A20DC">
              <w:rPr>
                <w:rFonts w:asciiTheme="minorHAnsi" w:eastAsiaTheme="minorHAnsi" w:hAnsiTheme="minorHAnsi" w:cstheme="minorHAnsi"/>
                <w:sz w:val="22"/>
                <w:szCs w:val="22"/>
                <w:lang w:eastAsia="en-US"/>
              </w:rPr>
              <w:t xml:space="preserve">recommended a further project to develop a system to monitor final trial </w:t>
            </w:r>
            <w:r w:rsidRPr="000A20DC">
              <w:rPr>
                <w:rFonts w:asciiTheme="minorHAnsi" w:eastAsiaTheme="minorHAnsi" w:hAnsiTheme="minorHAnsi" w:cstheme="minorHAnsi"/>
                <w:sz w:val="22"/>
                <w:szCs w:val="22"/>
                <w:lang w:eastAsia="en-US"/>
              </w:rPr>
              <w:t>overall survival (</w:t>
            </w:r>
            <w:r w:rsidR="00D3413A" w:rsidRPr="000A20DC">
              <w:rPr>
                <w:rFonts w:asciiTheme="minorHAnsi" w:eastAsiaTheme="minorHAnsi" w:hAnsiTheme="minorHAnsi" w:cstheme="minorHAnsi"/>
                <w:sz w:val="22"/>
                <w:szCs w:val="22"/>
                <w:lang w:eastAsia="en-US"/>
              </w:rPr>
              <w:t>OS</w:t>
            </w:r>
            <w:r w:rsidRPr="000A20DC">
              <w:rPr>
                <w:rFonts w:asciiTheme="minorHAnsi" w:eastAsiaTheme="minorHAnsi" w:hAnsiTheme="minorHAnsi" w:cstheme="minorHAnsi"/>
                <w:sz w:val="22"/>
                <w:szCs w:val="22"/>
                <w:lang w:eastAsia="en-US"/>
              </w:rPr>
              <w:t>)</w:t>
            </w:r>
            <w:r w:rsidR="00D3413A" w:rsidRPr="000A20DC">
              <w:rPr>
                <w:rFonts w:asciiTheme="minorHAnsi" w:eastAsiaTheme="minorHAnsi" w:hAnsiTheme="minorHAnsi" w:cstheme="minorHAnsi"/>
                <w:sz w:val="22"/>
                <w:szCs w:val="22"/>
                <w:lang w:eastAsia="en-US"/>
              </w:rPr>
              <w:t xml:space="preserve"> results for cancer medicines</w:t>
            </w:r>
            <w:r w:rsidRPr="000A20DC">
              <w:rPr>
                <w:rFonts w:asciiTheme="minorHAnsi" w:eastAsiaTheme="minorHAnsi" w:hAnsiTheme="minorHAnsi" w:cstheme="minorHAnsi"/>
                <w:sz w:val="22"/>
                <w:szCs w:val="22"/>
                <w:lang w:eastAsia="en-US"/>
              </w:rPr>
              <w:t xml:space="preserve"> listed on the PBS</w:t>
            </w:r>
            <w:r w:rsidR="00D3413A" w:rsidRPr="000A20DC">
              <w:rPr>
                <w:rFonts w:asciiTheme="minorHAnsi" w:eastAsiaTheme="minorHAnsi" w:hAnsiTheme="minorHAnsi" w:cstheme="minorHAnsi"/>
                <w:sz w:val="22"/>
                <w:szCs w:val="22"/>
                <w:lang w:eastAsia="en-US"/>
              </w:rPr>
              <w:t>.</w:t>
            </w:r>
            <w:r w:rsidRPr="000A20DC">
              <w:rPr>
                <w:rFonts w:asciiTheme="minorHAnsi" w:eastAsiaTheme="minorHAnsi" w:hAnsiTheme="minorHAnsi" w:cstheme="minorHAnsi"/>
                <w:sz w:val="22"/>
                <w:szCs w:val="22"/>
                <w:lang w:eastAsia="en-US"/>
              </w:rPr>
              <w:t xml:space="preserve"> </w:t>
            </w:r>
          </w:p>
          <w:p w14:paraId="49418239" w14:textId="77777777" w:rsidR="00942613" w:rsidRPr="000A20DC" w:rsidRDefault="00942613" w:rsidP="001E3185">
            <w:pPr>
              <w:rPr>
                <w:rFonts w:asciiTheme="minorHAnsi" w:eastAsiaTheme="minorHAnsi" w:hAnsiTheme="minorHAnsi" w:cstheme="minorHAnsi"/>
                <w:sz w:val="22"/>
                <w:szCs w:val="22"/>
                <w:lang w:eastAsia="en-US"/>
              </w:rPr>
            </w:pPr>
          </w:p>
          <w:p w14:paraId="6DD2A7AF" w14:textId="39A97A4E" w:rsidR="001E3185" w:rsidRPr="000A20DC" w:rsidRDefault="001E3185" w:rsidP="001E3185">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The Department contracted Monash University to develop a report on final trial OS results for cancer medicines recommended by the PBAC between January 2012 and March 2024. The report aimed to explore whether final trial OS results for cancer medicines aligned with the interim results considered by the PBAC and any reasons for trial results not being available. </w:t>
            </w:r>
          </w:p>
          <w:p w14:paraId="13213B3B" w14:textId="77777777" w:rsidR="004C1521" w:rsidRDefault="004C1521" w:rsidP="00D3413A">
            <w:pPr>
              <w:rPr>
                <w:rFonts w:asciiTheme="minorHAnsi" w:eastAsiaTheme="minorHAnsi" w:hAnsiTheme="minorHAnsi" w:cstheme="minorHAnsi"/>
                <w:sz w:val="22"/>
                <w:szCs w:val="22"/>
                <w:lang w:eastAsia="en-US"/>
              </w:rPr>
            </w:pPr>
          </w:p>
          <w:p w14:paraId="56C1704C"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106CB415" w14:textId="4E7FB5FD" w:rsidR="0020076C" w:rsidRPr="000A20DC" w:rsidRDefault="0020076C"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The report</w:t>
            </w:r>
            <w:r w:rsidR="004C1521" w:rsidRPr="000A20DC">
              <w:rPr>
                <w:rFonts w:asciiTheme="minorHAnsi" w:eastAsiaTheme="minorHAnsi" w:hAnsiTheme="minorHAnsi" w:cstheme="minorHAnsi"/>
                <w:sz w:val="22"/>
                <w:szCs w:val="22"/>
                <w:lang w:eastAsia="en-US"/>
              </w:rPr>
              <w:t xml:space="preserve"> on</w:t>
            </w:r>
            <w:r w:rsidRPr="000A20DC">
              <w:rPr>
                <w:rFonts w:asciiTheme="minorHAnsi" w:eastAsiaTheme="minorHAnsi" w:hAnsiTheme="minorHAnsi" w:cstheme="minorHAnsi"/>
                <w:sz w:val="22"/>
                <w:szCs w:val="22"/>
                <w:lang w:eastAsia="en-US"/>
              </w:rPr>
              <w:t xml:space="preserve"> final trial OS results for cancer medicines was considered by ESC in October 2025</w:t>
            </w:r>
            <w:r w:rsidR="001E3185" w:rsidRPr="000A20DC">
              <w:rPr>
                <w:rFonts w:asciiTheme="minorHAnsi" w:eastAsiaTheme="minorHAnsi" w:hAnsiTheme="minorHAnsi" w:cstheme="minorHAnsi"/>
                <w:sz w:val="22"/>
                <w:szCs w:val="22"/>
                <w:lang w:eastAsia="en-US"/>
              </w:rPr>
              <w:t xml:space="preserve"> and PBAC in November 2025.</w:t>
            </w:r>
            <w:r w:rsidR="009A3CA1" w:rsidRPr="000A20DC">
              <w:rPr>
                <w:rFonts w:asciiTheme="minorHAnsi" w:eastAsiaTheme="minorHAnsi" w:hAnsiTheme="minorHAnsi" w:cstheme="minorHAnsi"/>
                <w:sz w:val="22"/>
                <w:szCs w:val="22"/>
                <w:lang w:eastAsia="en-US"/>
              </w:rPr>
              <w:t xml:space="preserve"> Outcomes </w:t>
            </w:r>
            <w:r w:rsidR="00941A7F">
              <w:rPr>
                <w:rFonts w:asciiTheme="minorHAnsi" w:eastAsiaTheme="minorHAnsi" w:hAnsiTheme="minorHAnsi" w:cstheme="minorHAnsi"/>
                <w:sz w:val="22"/>
                <w:szCs w:val="22"/>
                <w:lang w:eastAsia="en-US"/>
              </w:rPr>
              <w:t xml:space="preserve">were </w:t>
            </w:r>
            <w:r w:rsidR="009A3CA1" w:rsidRPr="000A20DC">
              <w:rPr>
                <w:rFonts w:asciiTheme="minorHAnsi" w:eastAsiaTheme="minorHAnsi" w:hAnsiTheme="minorHAnsi" w:cstheme="minorHAnsi"/>
                <w:sz w:val="22"/>
                <w:szCs w:val="22"/>
                <w:lang w:eastAsia="en-US"/>
              </w:rPr>
              <w:t xml:space="preserve">published as part of the </w:t>
            </w:r>
            <w:hyperlink r:id="rId10" w:history="1">
              <w:r w:rsidR="009A3CA1" w:rsidRPr="000A20DC">
                <w:rPr>
                  <w:rStyle w:val="Hyperlink"/>
                  <w:rFonts w:asciiTheme="minorHAnsi" w:eastAsiaTheme="minorHAnsi" w:hAnsiTheme="minorHAnsi" w:cstheme="minorHAnsi"/>
                  <w:sz w:val="22"/>
                  <w:szCs w:val="22"/>
                  <w:lang w:eastAsia="en-US"/>
                </w:rPr>
                <w:t>November 2025 meeting outcomes</w:t>
              </w:r>
            </w:hyperlink>
            <w:r w:rsidR="001E3185" w:rsidRPr="000A20DC">
              <w:rPr>
                <w:rFonts w:asciiTheme="minorHAnsi" w:eastAsiaTheme="minorHAnsi" w:hAnsiTheme="minorHAnsi" w:cstheme="minorHAnsi"/>
                <w:sz w:val="22"/>
                <w:szCs w:val="22"/>
                <w:lang w:eastAsia="en-US"/>
              </w:rPr>
              <w:t>.</w:t>
            </w:r>
            <w:r w:rsidR="00941A7F">
              <w:rPr>
                <w:rFonts w:asciiTheme="minorHAnsi" w:eastAsiaTheme="minorHAnsi" w:hAnsiTheme="minorHAnsi" w:cstheme="minorHAnsi"/>
                <w:sz w:val="22"/>
                <w:szCs w:val="22"/>
                <w:lang w:eastAsia="en-US"/>
              </w:rPr>
              <w:t xml:space="preserve"> The </w:t>
            </w:r>
            <w:hyperlink r:id="rId11" w:history="1">
              <w:r w:rsidR="00941A7F" w:rsidRPr="00941A7F">
                <w:rPr>
                  <w:rStyle w:val="Hyperlink"/>
                  <w:rFonts w:asciiTheme="minorHAnsi" w:eastAsiaTheme="minorHAnsi" w:hAnsiTheme="minorHAnsi" w:cstheme="minorHAnsi"/>
                  <w:sz w:val="22"/>
                  <w:szCs w:val="22"/>
                  <w:lang w:eastAsia="en-US"/>
                </w:rPr>
                <w:t>report and PBAC Minutes</w:t>
              </w:r>
            </w:hyperlink>
            <w:r w:rsidR="00941A7F">
              <w:rPr>
                <w:rFonts w:asciiTheme="minorHAnsi" w:eastAsiaTheme="minorHAnsi" w:hAnsiTheme="minorHAnsi" w:cstheme="minorHAnsi"/>
                <w:sz w:val="22"/>
                <w:szCs w:val="22"/>
                <w:lang w:eastAsia="en-US"/>
              </w:rPr>
              <w:t xml:space="preserve"> were published on 4 August 2026.</w:t>
            </w:r>
          </w:p>
          <w:p w14:paraId="25F2CFDA" w14:textId="77777777" w:rsidR="004C1521" w:rsidRPr="000A20DC" w:rsidRDefault="004C1521" w:rsidP="00D3413A">
            <w:pPr>
              <w:rPr>
                <w:rFonts w:asciiTheme="minorHAnsi" w:eastAsiaTheme="minorHAnsi" w:hAnsiTheme="minorHAnsi" w:cstheme="minorHAnsi"/>
                <w:b/>
                <w:bCs/>
                <w:sz w:val="22"/>
                <w:szCs w:val="22"/>
                <w:lang w:eastAsia="en-US"/>
              </w:rPr>
            </w:pPr>
          </w:p>
          <w:p w14:paraId="0B2913D4" w14:textId="0D238004"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b/>
                <w:bCs/>
                <w:sz w:val="22"/>
                <w:szCs w:val="22"/>
                <w:lang w:eastAsia="en-US"/>
              </w:rPr>
              <w:t>Next steps</w:t>
            </w:r>
          </w:p>
          <w:p w14:paraId="5A5AD40B" w14:textId="18EF0477" w:rsidR="00587785" w:rsidRPr="000A20DC" w:rsidRDefault="009A3CA1" w:rsidP="00A27AB4">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The Department will seek the views of the PBAC at a future meeting regarding continuing the monitoring system for a further 2-3 years before evaluating </w:t>
            </w:r>
            <w:r w:rsidR="00941A7F">
              <w:rPr>
                <w:rFonts w:asciiTheme="minorHAnsi" w:eastAsiaTheme="minorHAnsi" w:hAnsiTheme="minorHAnsi" w:cstheme="minorHAnsi"/>
                <w:sz w:val="22"/>
                <w:szCs w:val="22"/>
                <w:lang w:eastAsia="en-US"/>
              </w:rPr>
              <w:t xml:space="preserve">the </w:t>
            </w:r>
            <w:r w:rsidRPr="000A20DC">
              <w:rPr>
                <w:rFonts w:asciiTheme="minorHAnsi" w:eastAsiaTheme="minorHAnsi" w:hAnsiTheme="minorHAnsi" w:cstheme="minorHAnsi"/>
                <w:sz w:val="22"/>
                <w:szCs w:val="22"/>
                <w:lang w:eastAsia="en-US"/>
              </w:rPr>
              <w:t>merits of the system.</w:t>
            </w:r>
          </w:p>
        </w:tc>
        <w:tc>
          <w:tcPr>
            <w:tcW w:w="2873" w:type="dxa"/>
            <w:tcBorders>
              <w:top w:val="single" w:sz="8" w:space="0" w:color="auto"/>
              <w:left w:val="single" w:sz="8" w:space="0" w:color="auto"/>
              <w:bottom w:val="single" w:sz="8" w:space="0" w:color="auto"/>
              <w:right w:val="single" w:sz="8" w:space="0" w:color="auto"/>
            </w:tcBorders>
            <w:hideMark/>
          </w:tcPr>
          <w:p w14:paraId="698593B8" w14:textId="77777777" w:rsidR="00D3413A" w:rsidRPr="000A20DC" w:rsidRDefault="00D3413A" w:rsidP="00460250">
            <w:pPr>
              <w:numPr>
                <w:ilvl w:val="0"/>
                <w:numId w:val="28"/>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Oncology medicines</w:t>
            </w:r>
          </w:p>
        </w:tc>
      </w:tr>
      <w:tr w:rsidR="009708BA" w:rsidRPr="000A20DC" w14:paraId="2729CD05" w14:textId="77777777" w:rsidTr="00A2609D">
        <w:trPr>
          <w:trHeight w:val="300"/>
        </w:trPr>
        <w:tc>
          <w:tcPr>
            <w:tcW w:w="2542" w:type="dxa"/>
            <w:tcBorders>
              <w:top w:val="single" w:sz="8" w:space="0" w:color="auto"/>
              <w:left w:val="single" w:sz="8" w:space="0" w:color="auto"/>
              <w:bottom w:val="single" w:sz="8" w:space="0" w:color="auto"/>
              <w:right w:val="single" w:sz="8" w:space="0" w:color="auto"/>
            </w:tcBorders>
            <w:hideMark/>
          </w:tcPr>
          <w:p w14:paraId="66D6D12E"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Bipolar disorder</w:t>
            </w:r>
          </w:p>
        </w:tc>
        <w:tc>
          <w:tcPr>
            <w:tcW w:w="8745" w:type="dxa"/>
            <w:tcBorders>
              <w:top w:val="single" w:sz="8" w:space="0" w:color="auto"/>
              <w:left w:val="single" w:sz="8" w:space="0" w:color="auto"/>
              <w:bottom w:val="single" w:sz="8" w:space="0" w:color="auto"/>
              <w:right w:val="single" w:sz="8" w:space="0" w:color="auto"/>
            </w:tcBorders>
            <w:hideMark/>
          </w:tcPr>
          <w:p w14:paraId="5A23BC42"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Lamotrigine (LTG) for bipolar disorder</w:t>
            </w:r>
          </w:p>
          <w:p w14:paraId="0A6B4991" w14:textId="77777777" w:rsidR="004C1521" w:rsidRPr="000A20DC" w:rsidRDefault="004C1521" w:rsidP="00D3413A">
            <w:pPr>
              <w:rPr>
                <w:rFonts w:asciiTheme="minorHAnsi" w:eastAsiaTheme="minorHAnsi" w:hAnsiTheme="minorHAnsi" w:cstheme="minorHAnsi"/>
                <w:b/>
                <w:bCs/>
                <w:sz w:val="22"/>
                <w:szCs w:val="22"/>
                <w:lang w:eastAsia="en-US"/>
              </w:rPr>
            </w:pPr>
          </w:p>
          <w:p w14:paraId="27FA150E"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b/>
                <w:bCs/>
                <w:sz w:val="22"/>
                <w:szCs w:val="22"/>
                <w:lang w:eastAsia="en-US"/>
              </w:rPr>
              <w:t>Background</w:t>
            </w:r>
          </w:p>
          <w:p w14:paraId="40069533" w14:textId="47F04C75" w:rsidR="00D3413A" w:rsidRPr="000A20DC" w:rsidRDefault="00D3413A" w:rsidP="00D3413A">
            <w:pPr>
              <w:rPr>
                <w:rFonts w:asciiTheme="minorHAnsi" w:eastAsiaTheme="minorHAnsi" w:hAnsiTheme="minorHAnsi" w:cstheme="minorHAnsi"/>
                <w:bCs/>
                <w:sz w:val="22"/>
                <w:szCs w:val="22"/>
                <w:lang w:eastAsia="en-US"/>
              </w:rPr>
            </w:pPr>
            <w:r w:rsidRPr="000A20DC">
              <w:rPr>
                <w:rFonts w:asciiTheme="minorHAnsi" w:eastAsiaTheme="minorHAnsi" w:hAnsiTheme="minorHAnsi" w:cstheme="minorHAnsi"/>
                <w:bCs/>
                <w:sz w:val="22"/>
                <w:szCs w:val="22"/>
                <w:lang w:eastAsia="en-US"/>
              </w:rPr>
              <w:t xml:space="preserve">At its </w:t>
            </w:r>
            <w:hyperlink r:id="rId12" w:history="1">
              <w:r w:rsidRPr="000A20DC">
                <w:rPr>
                  <w:rStyle w:val="Hyperlink"/>
                  <w:rFonts w:asciiTheme="minorHAnsi" w:eastAsiaTheme="minorHAnsi" w:hAnsiTheme="minorHAnsi" w:cstheme="minorHAnsi"/>
                  <w:color w:val="auto"/>
                  <w:sz w:val="22"/>
                  <w:szCs w:val="22"/>
                  <w:lang w:eastAsia="en-US"/>
                </w:rPr>
                <w:t>May 2025 Intracycle meeting</w:t>
              </w:r>
            </w:hyperlink>
            <w:r w:rsidRPr="00A2609D">
              <w:rPr>
                <w:rStyle w:val="Hyperlink"/>
                <w:rFonts w:asciiTheme="minorHAnsi" w:hAnsiTheme="minorHAnsi"/>
                <w:color w:val="auto"/>
                <w:sz w:val="22"/>
              </w:rPr>
              <w:t xml:space="preserve"> </w:t>
            </w:r>
            <w:r w:rsidRPr="000A20DC">
              <w:rPr>
                <w:rFonts w:asciiTheme="minorHAnsi" w:eastAsiaTheme="minorHAnsi" w:hAnsiTheme="minorHAnsi" w:cstheme="minorHAnsi"/>
                <w:bCs/>
                <w:sz w:val="22"/>
                <w:szCs w:val="22"/>
                <w:lang w:eastAsia="en-US"/>
              </w:rPr>
              <w:t xml:space="preserve">the PBAC considered the </w:t>
            </w:r>
            <w:hyperlink r:id="rId13" w:history="1">
              <w:r w:rsidRPr="000A20DC">
                <w:rPr>
                  <w:rStyle w:val="Hyperlink"/>
                  <w:rFonts w:asciiTheme="minorHAnsi" w:eastAsiaTheme="minorHAnsi" w:hAnsiTheme="minorHAnsi" w:cstheme="minorHAnsi"/>
                  <w:i/>
                  <w:iCs/>
                  <w:color w:val="auto"/>
                  <w:sz w:val="22"/>
                  <w:szCs w:val="22"/>
                  <w:lang w:eastAsia="en-US"/>
                </w:rPr>
                <w:t>Review of clinical guidelines and cost estimates for the use of anti-epileptic drugs (AEDs) for the treatment of epilepsy</w:t>
              </w:r>
            </w:hyperlink>
            <w:r w:rsidRPr="000A20DC">
              <w:rPr>
                <w:rFonts w:asciiTheme="minorHAnsi" w:eastAsiaTheme="minorHAnsi" w:hAnsiTheme="minorHAnsi" w:cstheme="minorHAnsi"/>
                <w:bCs/>
                <w:sz w:val="22"/>
                <w:szCs w:val="22"/>
                <w:lang w:eastAsia="en-US"/>
              </w:rPr>
              <w:t xml:space="preserve"> report. </w:t>
            </w:r>
          </w:p>
          <w:p w14:paraId="3DB7FEDC" w14:textId="77777777" w:rsidR="00071670" w:rsidRPr="000A20DC" w:rsidRDefault="00071670" w:rsidP="00D3413A">
            <w:pPr>
              <w:rPr>
                <w:rFonts w:asciiTheme="minorHAnsi" w:eastAsiaTheme="minorHAnsi" w:hAnsiTheme="minorHAnsi" w:cstheme="minorHAnsi"/>
                <w:bCs/>
                <w:sz w:val="22"/>
                <w:szCs w:val="22"/>
                <w:lang w:eastAsia="en-US"/>
              </w:rPr>
            </w:pPr>
          </w:p>
          <w:p w14:paraId="57969A92" w14:textId="77777777" w:rsidR="00D3413A" w:rsidRPr="000A20DC" w:rsidRDefault="00D3413A" w:rsidP="00D3413A">
            <w:pPr>
              <w:rPr>
                <w:rFonts w:asciiTheme="minorHAnsi" w:eastAsiaTheme="minorHAnsi" w:hAnsiTheme="minorHAnsi" w:cstheme="minorHAnsi"/>
                <w:bCs/>
                <w:sz w:val="22"/>
                <w:szCs w:val="22"/>
                <w:lang w:eastAsia="en-US"/>
              </w:rPr>
            </w:pPr>
            <w:r w:rsidRPr="000A20DC">
              <w:rPr>
                <w:rFonts w:asciiTheme="minorHAnsi" w:eastAsiaTheme="minorHAnsi" w:hAnsiTheme="minorHAnsi" w:cstheme="minorHAnsi"/>
                <w:bCs/>
                <w:sz w:val="22"/>
                <w:szCs w:val="22"/>
                <w:lang w:eastAsia="en-US"/>
              </w:rPr>
              <w:t>The PBAC recommended amending the PBS restrictions for levetiracetam (LEV) (tablets and liquid forms) and LTG (tablets) to Restricted Benefit listings for “epileptic seizures” and removal of the following clinical criteria from the current listings: “The condition must have failed to be controlled satisfactorily by other anti-epileptic drugs; OR Patient must be a woman of childbearing potential.” This restriction change will allow the subsidised first-line use of these medicines in the general Australian population with epilepsy.</w:t>
            </w:r>
          </w:p>
          <w:p w14:paraId="5FB484C8" w14:textId="77777777" w:rsidR="004C1521" w:rsidRPr="000A20DC" w:rsidRDefault="004C1521" w:rsidP="00D3413A">
            <w:pPr>
              <w:rPr>
                <w:rFonts w:asciiTheme="minorHAnsi" w:eastAsiaTheme="minorHAnsi" w:hAnsiTheme="minorHAnsi" w:cstheme="minorHAnsi"/>
                <w:bCs/>
                <w:sz w:val="22"/>
                <w:szCs w:val="22"/>
                <w:lang w:eastAsia="en-US"/>
              </w:rPr>
            </w:pPr>
          </w:p>
          <w:p w14:paraId="47B4B319" w14:textId="77777777" w:rsidR="00D3413A" w:rsidRPr="000A20DC" w:rsidRDefault="00D3413A" w:rsidP="00D3413A">
            <w:pPr>
              <w:rPr>
                <w:rFonts w:asciiTheme="minorHAnsi" w:eastAsiaTheme="minorHAnsi" w:hAnsiTheme="minorHAnsi" w:cstheme="minorHAnsi"/>
                <w:bCs/>
                <w:sz w:val="22"/>
                <w:szCs w:val="22"/>
                <w:lang w:eastAsia="en-US"/>
              </w:rPr>
            </w:pPr>
            <w:r w:rsidRPr="000A20DC">
              <w:rPr>
                <w:rFonts w:asciiTheme="minorHAnsi" w:eastAsiaTheme="minorHAnsi" w:hAnsiTheme="minorHAnsi" w:cstheme="minorHAnsi"/>
                <w:bCs/>
                <w:sz w:val="22"/>
                <w:szCs w:val="22"/>
                <w:lang w:eastAsia="en-US"/>
              </w:rPr>
              <w:t>The PBAC considered there may be an unmet need to subsidise LTG for mental illnesses such as bipolar disorder. The PBAC recommended in principle extending subsidy of LTG to this indication and requested that the Department undertake further work to estimate the cost to the R/PBS of a separate Restricted Benefit listing for LTG for bipolar disorder for its consideration at a future meeting.</w:t>
            </w:r>
          </w:p>
          <w:p w14:paraId="3249A1B2" w14:textId="77777777" w:rsidR="004C1521" w:rsidRPr="000A20DC" w:rsidRDefault="004C1521" w:rsidP="00D3413A">
            <w:pPr>
              <w:rPr>
                <w:rFonts w:asciiTheme="minorHAnsi" w:eastAsiaTheme="minorHAnsi" w:hAnsiTheme="minorHAnsi" w:cstheme="minorHAnsi"/>
                <w:bCs/>
                <w:sz w:val="22"/>
                <w:szCs w:val="22"/>
                <w:lang w:eastAsia="en-US"/>
              </w:rPr>
            </w:pPr>
          </w:p>
          <w:p w14:paraId="613EDD2C" w14:textId="1C8F3841" w:rsidR="00C0038A" w:rsidRPr="000A20DC" w:rsidRDefault="00D3413A" w:rsidP="00D3413A">
            <w:pPr>
              <w:rPr>
                <w:rFonts w:asciiTheme="minorHAnsi" w:eastAsiaTheme="minorHAnsi" w:hAnsiTheme="minorHAnsi" w:cstheme="minorHAnsi"/>
                <w:bCs/>
                <w:sz w:val="22"/>
                <w:szCs w:val="22"/>
                <w:lang w:eastAsia="en-US"/>
              </w:rPr>
            </w:pPr>
            <w:r w:rsidRPr="000A20DC">
              <w:rPr>
                <w:rFonts w:asciiTheme="minorHAnsi" w:eastAsiaTheme="minorHAnsi" w:hAnsiTheme="minorHAnsi" w:cstheme="minorHAnsi"/>
                <w:b/>
                <w:bCs/>
                <w:sz w:val="22"/>
                <w:szCs w:val="22"/>
                <w:lang w:eastAsia="en-US"/>
              </w:rPr>
              <w:t>Status</w:t>
            </w:r>
          </w:p>
          <w:p w14:paraId="5C6D0992" w14:textId="0E20BFCA" w:rsidR="00C0038A" w:rsidRPr="000A20DC" w:rsidRDefault="00C0038A" w:rsidP="00C0038A">
            <w:pPr>
              <w:rPr>
                <w:rFonts w:asciiTheme="minorHAnsi" w:eastAsiaTheme="minorHAnsi" w:hAnsiTheme="minorHAnsi" w:cstheme="minorHAnsi"/>
                <w:bCs/>
                <w:sz w:val="22"/>
                <w:szCs w:val="22"/>
                <w:lang w:eastAsia="en-US"/>
              </w:rPr>
            </w:pPr>
            <w:r w:rsidRPr="000A20DC">
              <w:rPr>
                <w:rFonts w:asciiTheme="minorHAnsi" w:eastAsiaTheme="minorHAnsi" w:hAnsiTheme="minorHAnsi" w:cstheme="minorHAnsi"/>
                <w:bCs/>
                <w:sz w:val="22"/>
                <w:szCs w:val="22"/>
                <w:lang w:eastAsia="en-US"/>
              </w:rPr>
              <w:t xml:space="preserve">At its </w:t>
            </w:r>
            <w:hyperlink r:id="rId14" w:history="1">
              <w:r w:rsidRPr="000A20DC">
                <w:rPr>
                  <w:rStyle w:val="Hyperlink"/>
                  <w:rFonts w:asciiTheme="minorHAnsi" w:eastAsiaTheme="minorHAnsi" w:hAnsiTheme="minorHAnsi" w:cstheme="minorHAnsi"/>
                  <w:bCs/>
                  <w:sz w:val="22"/>
                  <w:szCs w:val="22"/>
                  <w:lang w:eastAsia="en-US"/>
                </w:rPr>
                <w:t>November 2025</w:t>
              </w:r>
            </w:hyperlink>
            <w:r w:rsidRPr="000A20DC">
              <w:rPr>
                <w:rFonts w:asciiTheme="minorHAnsi" w:eastAsiaTheme="minorHAnsi" w:hAnsiTheme="minorHAnsi" w:cstheme="minorHAnsi"/>
                <w:bCs/>
                <w:sz w:val="22"/>
                <w:szCs w:val="22"/>
                <w:lang w:eastAsia="en-US"/>
              </w:rPr>
              <w:t xml:space="preserve"> meeting, the PBAC recommended a new Restricted Benefit listing on the PBS for lamotrigine to treat bipolar disorder. The new listing </w:t>
            </w:r>
            <w:r w:rsidR="00A27AB4">
              <w:rPr>
                <w:rFonts w:asciiTheme="minorHAnsi" w:eastAsiaTheme="minorHAnsi" w:hAnsiTheme="minorHAnsi" w:cstheme="minorHAnsi"/>
                <w:bCs/>
                <w:sz w:val="22"/>
                <w:szCs w:val="22"/>
                <w:lang w:eastAsia="en-US"/>
              </w:rPr>
              <w:t>was implemented on</w:t>
            </w:r>
            <w:r w:rsidRPr="000A20DC">
              <w:rPr>
                <w:rFonts w:asciiTheme="minorHAnsi" w:eastAsiaTheme="minorHAnsi" w:hAnsiTheme="minorHAnsi" w:cstheme="minorHAnsi"/>
                <w:bCs/>
                <w:sz w:val="22"/>
                <w:szCs w:val="22"/>
                <w:lang w:eastAsia="en-US"/>
              </w:rPr>
              <w:t xml:space="preserve"> </w:t>
            </w:r>
            <w:r w:rsidR="00A27AB4" w:rsidRPr="000A20DC">
              <w:rPr>
                <w:rFonts w:asciiTheme="minorHAnsi" w:eastAsiaTheme="minorHAnsi" w:hAnsiTheme="minorHAnsi" w:cstheme="minorHAnsi"/>
                <w:bCs/>
                <w:sz w:val="22"/>
                <w:szCs w:val="22"/>
                <w:lang w:eastAsia="en-US"/>
              </w:rPr>
              <w:t xml:space="preserve">1 May </w:t>
            </w:r>
            <w:r w:rsidR="00A27AB4">
              <w:rPr>
                <w:rFonts w:asciiTheme="minorHAnsi" w:eastAsiaTheme="minorHAnsi" w:hAnsiTheme="minorHAnsi" w:cstheme="minorHAnsi"/>
                <w:bCs/>
                <w:sz w:val="22"/>
                <w:szCs w:val="22"/>
                <w:lang w:eastAsia="en-US"/>
              </w:rPr>
              <w:t>2</w:t>
            </w:r>
            <w:r w:rsidR="00A27AB4" w:rsidRPr="000A20DC">
              <w:rPr>
                <w:rFonts w:asciiTheme="minorHAnsi" w:eastAsiaTheme="minorHAnsi" w:hAnsiTheme="minorHAnsi" w:cstheme="minorHAnsi"/>
                <w:bCs/>
                <w:sz w:val="22"/>
                <w:szCs w:val="22"/>
                <w:lang w:eastAsia="en-US"/>
              </w:rPr>
              <w:t>026</w:t>
            </w:r>
            <w:r w:rsidR="00A27AB4">
              <w:rPr>
                <w:rFonts w:asciiTheme="minorHAnsi" w:eastAsiaTheme="minorHAnsi" w:hAnsiTheme="minorHAnsi" w:cstheme="minorHAnsi"/>
                <w:bCs/>
                <w:sz w:val="22"/>
                <w:szCs w:val="22"/>
                <w:lang w:eastAsia="en-US"/>
              </w:rPr>
              <w:t xml:space="preserve"> </w:t>
            </w:r>
            <w:r w:rsidRPr="000A20DC">
              <w:rPr>
                <w:rFonts w:asciiTheme="minorHAnsi" w:eastAsiaTheme="minorHAnsi" w:hAnsiTheme="minorHAnsi" w:cstheme="minorHAnsi"/>
                <w:bCs/>
                <w:sz w:val="22"/>
                <w:szCs w:val="22"/>
                <w:lang w:eastAsia="en-US"/>
              </w:rPr>
              <w:t>as part of monthly changes to the PBS schedule.</w:t>
            </w:r>
          </w:p>
          <w:p w14:paraId="2805BB76" w14:textId="77777777" w:rsidR="00DB5C99" w:rsidRPr="000A20DC" w:rsidRDefault="00DB5C99" w:rsidP="00D3413A">
            <w:pPr>
              <w:rPr>
                <w:rFonts w:asciiTheme="minorHAnsi" w:eastAsiaTheme="minorHAnsi" w:hAnsiTheme="minorHAnsi" w:cstheme="minorHAnsi"/>
                <w:bCs/>
                <w:sz w:val="22"/>
                <w:szCs w:val="22"/>
                <w:lang w:eastAsia="en-US"/>
              </w:rPr>
            </w:pPr>
          </w:p>
        </w:tc>
        <w:tc>
          <w:tcPr>
            <w:tcW w:w="2873" w:type="dxa"/>
            <w:tcBorders>
              <w:top w:val="single" w:sz="8" w:space="0" w:color="auto"/>
              <w:left w:val="single" w:sz="8" w:space="0" w:color="auto"/>
              <w:bottom w:val="single" w:sz="8" w:space="0" w:color="auto"/>
              <w:right w:val="single" w:sz="8" w:space="0" w:color="auto"/>
            </w:tcBorders>
            <w:hideMark/>
          </w:tcPr>
          <w:p w14:paraId="7EF564D2" w14:textId="77777777" w:rsidR="00D3413A" w:rsidRPr="000A20DC" w:rsidRDefault="00D3413A" w:rsidP="00D3413A">
            <w:pPr>
              <w:numPr>
                <w:ilvl w:val="0"/>
                <w:numId w:val="28"/>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Lamotrigine</w:t>
            </w:r>
          </w:p>
        </w:tc>
      </w:tr>
      <w:tr w:rsidR="00D3413A" w:rsidRPr="000A20DC" w14:paraId="7BBF72CF" w14:textId="77777777" w:rsidTr="00A2609D">
        <w:trPr>
          <w:trHeight w:val="300"/>
        </w:trPr>
        <w:tc>
          <w:tcPr>
            <w:tcW w:w="2542" w:type="dxa"/>
            <w:tcBorders>
              <w:top w:val="single" w:sz="8" w:space="0" w:color="auto"/>
              <w:left w:val="single" w:sz="8" w:space="0" w:color="auto"/>
              <w:bottom w:val="single" w:sz="8" w:space="0" w:color="auto"/>
              <w:right w:val="single" w:sz="8" w:space="0" w:color="auto"/>
            </w:tcBorders>
            <w:hideMark/>
          </w:tcPr>
          <w:p w14:paraId="7987DEA2"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Severe dry eye</w:t>
            </w:r>
          </w:p>
        </w:tc>
        <w:tc>
          <w:tcPr>
            <w:tcW w:w="8745" w:type="dxa"/>
            <w:tcBorders>
              <w:top w:val="single" w:sz="8" w:space="0" w:color="auto"/>
              <w:left w:val="single" w:sz="8" w:space="0" w:color="auto"/>
              <w:bottom w:val="single" w:sz="8" w:space="0" w:color="auto"/>
              <w:right w:val="single" w:sz="8" w:space="0" w:color="auto"/>
            </w:tcBorders>
            <w:hideMark/>
          </w:tcPr>
          <w:p w14:paraId="6C74ED47"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 xml:space="preserve">PBS-listed ocular lubricants for treatment of severe dry eye </w:t>
            </w:r>
          </w:p>
          <w:p w14:paraId="1AA6B8E9" w14:textId="77777777" w:rsidR="004C1521" w:rsidRPr="000A20DC" w:rsidRDefault="004C1521" w:rsidP="00D3413A">
            <w:pPr>
              <w:rPr>
                <w:rFonts w:asciiTheme="minorHAnsi" w:eastAsiaTheme="minorHAnsi" w:hAnsiTheme="minorHAnsi" w:cstheme="minorHAnsi"/>
                <w:sz w:val="22"/>
                <w:szCs w:val="22"/>
                <w:lang w:eastAsia="en-US"/>
              </w:rPr>
            </w:pPr>
          </w:p>
          <w:p w14:paraId="337A6DEA" w14:textId="62E6D613" w:rsidR="004C1521"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b/>
                <w:bCs/>
                <w:sz w:val="22"/>
                <w:szCs w:val="22"/>
                <w:lang w:eastAsia="en-US"/>
              </w:rPr>
              <w:t>Background</w:t>
            </w:r>
          </w:p>
          <w:p w14:paraId="28FBF96C" w14:textId="6EBDF4F1" w:rsidR="00EE7E85" w:rsidRPr="00977820" w:rsidRDefault="00EE7E85" w:rsidP="00977820">
            <w:pPr>
              <w:pStyle w:val="3-BodyText"/>
              <w:spacing w:before="0"/>
              <w:ind w:left="0" w:firstLine="0"/>
              <w:rPr>
                <w:rFonts w:cstheme="minorHAnsi"/>
                <w:sz w:val="22"/>
              </w:rPr>
            </w:pPr>
            <w:r w:rsidRPr="00977820">
              <w:rPr>
                <w:rFonts w:cstheme="minorHAnsi"/>
                <w:sz w:val="22"/>
              </w:rPr>
              <w:t>At its July 2024 meeting</w:t>
            </w:r>
            <w:r w:rsidRPr="007D51F6">
              <w:rPr>
                <w:sz w:val="22"/>
              </w:rPr>
              <w:t xml:space="preserve">, the PBAC </w:t>
            </w:r>
            <w:r w:rsidRPr="00977820">
              <w:rPr>
                <w:rFonts w:cstheme="minorHAnsi"/>
                <w:sz w:val="22"/>
              </w:rPr>
              <w:t>considered the findings of</w:t>
            </w:r>
            <w:r w:rsidRPr="007D51F6">
              <w:rPr>
                <w:sz w:val="22"/>
              </w:rPr>
              <w:t xml:space="preserve"> a systematic literature review </w:t>
            </w:r>
            <w:r w:rsidRPr="00977820">
              <w:rPr>
                <w:rFonts w:cstheme="minorHAnsi"/>
                <w:sz w:val="22"/>
              </w:rPr>
              <w:t>on</w:t>
            </w:r>
            <w:r w:rsidRPr="007D51F6">
              <w:rPr>
                <w:sz w:val="22"/>
              </w:rPr>
              <w:t xml:space="preserve"> the efficacy and safety of</w:t>
            </w:r>
            <w:r w:rsidRPr="00977820">
              <w:rPr>
                <w:rFonts w:cstheme="minorHAnsi"/>
                <w:sz w:val="22"/>
              </w:rPr>
              <w:t xml:space="preserve"> PC</w:t>
            </w:r>
            <w:r w:rsidRPr="007D51F6">
              <w:rPr>
                <w:sz w:val="22"/>
              </w:rPr>
              <w:t xml:space="preserve"> ocular lubricants </w:t>
            </w:r>
            <w:r w:rsidRPr="00977820">
              <w:rPr>
                <w:rFonts w:cstheme="minorHAnsi"/>
                <w:sz w:val="22"/>
              </w:rPr>
              <w:t>compared to PF</w:t>
            </w:r>
            <w:r w:rsidRPr="007D51F6">
              <w:rPr>
                <w:sz w:val="22"/>
              </w:rPr>
              <w:t xml:space="preserve"> ocular lubricants in patients with severe dry eye. The PBAC considered that the </w:t>
            </w:r>
            <w:r w:rsidRPr="00977820">
              <w:rPr>
                <w:rFonts w:cstheme="minorHAnsi"/>
                <w:sz w:val="22"/>
              </w:rPr>
              <w:t>Review</w:t>
            </w:r>
            <w:r w:rsidRPr="007D51F6">
              <w:rPr>
                <w:sz w:val="22"/>
              </w:rPr>
              <w:t xml:space="preserve"> did not find evidence to support the superior effectiveness or safety of PF products compared to PC products. </w:t>
            </w:r>
            <w:r w:rsidRPr="00977820">
              <w:rPr>
                <w:rFonts w:cstheme="minorHAnsi"/>
                <w:sz w:val="22"/>
              </w:rPr>
              <w:t xml:space="preserve">The PBAC advised that future submissions for ocular lubricants should be cost minimised to the lowest cost comparator, unless supporting evidence is provided to demonstrate superiority. </w:t>
            </w:r>
          </w:p>
          <w:p w14:paraId="659C65F2" w14:textId="39A8CF2D" w:rsidR="00EE7E85" w:rsidRPr="004E22B5" w:rsidRDefault="00EE7E85" w:rsidP="00A2609D">
            <w:pPr>
              <w:pStyle w:val="3-BodyText"/>
              <w:spacing w:before="0"/>
              <w:ind w:left="0" w:firstLine="0"/>
              <w:rPr>
                <w:rStyle w:val="ui-provider"/>
                <w:sz w:val="22"/>
              </w:rPr>
            </w:pPr>
            <w:r w:rsidRPr="004E22B5">
              <w:rPr>
                <w:rStyle w:val="ui-provider"/>
                <w:sz w:val="22"/>
              </w:rPr>
              <w:t xml:space="preserve">The PBAC requested </w:t>
            </w:r>
            <w:r w:rsidRPr="004E22B5">
              <w:rPr>
                <w:rStyle w:val="ui-provider"/>
                <w:rFonts w:cstheme="minorHAnsi"/>
                <w:sz w:val="22"/>
              </w:rPr>
              <w:t xml:space="preserve">the Department develop </w:t>
            </w:r>
            <w:r w:rsidRPr="004E22B5">
              <w:rPr>
                <w:rStyle w:val="ui-provider"/>
                <w:sz w:val="22"/>
              </w:rPr>
              <w:t xml:space="preserve">an options paper </w:t>
            </w:r>
            <w:r w:rsidRPr="004E22B5">
              <w:rPr>
                <w:rStyle w:val="ui-provider"/>
                <w:rFonts w:cstheme="minorHAnsi"/>
                <w:sz w:val="22"/>
              </w:rPr>
              <w:t xml:space="preserve">to </w:t>
            </w:r>
            <w:r w:rsidRPr="004E22B5">
              <w:rPr>
                <w:rStyle w:val="ui-provider"/>
                <w:sz w:val="22"/>
              </w:rPr>
              <w:t xml:space="preserve">be </w:t>
            </w:r>
            <w:r w:rsidRPr="004E22B5">
              <w:rPr>
                <w:rStyle w:val="ui-provider"/>
                <w:rFonts w:cstheme="minorHAnsi"/>
                <w:sz w:val="22"/>
              </w:rPr>
              <w:t>considered by the Committee at a</w:t>
            </w:r>
            <w:r w:rsidRPr="004E22B5">
              <w:rPr>
                <w:rStyle w:val="ui-provider"/>
                <w:sz w:val="22"/>
              </w:rPr>
              <w:t xml:space="preserve"> future </w:t>
            </w:r>
            <w:r w:rsidRPr="004E22B5">
              <w:rPr>
                <w:rStyle w:val="ui-provider"/>
                <w:rFonts w:cstheme="minorHAnsi"/>
                <w:sz w:val="22"/>
              </w:rPr>
              <w:t>meeting</w:t>
            </w:r>
            <w:r w:rsidRPr="004E22B5">
              <w:rPr>
                <w:rStyle w:val="ui-provider"/>
                <w:sz w:val="22"/>
              </w:rPr>
              <w:t xml:space="preserve">, </w:t>
            </w:r>
            <w:proofErr w:type="gramStart"/>
            <w:r w:rsidRPr="004E22B5">
              <w:rPr>
                <w:rStyle w:val="ui-provider"/>
                <w:sz w:val="22"/>
              </w:rPr>
              <w:t xml:space="preserve">taking </w:t>
            </w:r>
            <w:r w:rsidRPr="004E22B5">
              <w:rPr>
                <w:rStyle w:val="ui-provider"/>
                <w:rFonts w:cstheme="minorHAnsi"/>
                <w:sz w:val="22"/>
              </w:rPr>
              <w:t>into account</w:t>
            </w:r>
            <w:proofErr w:type="gramEnd"/>
            <w:r w:rsidRPr="004E22B5">
              <w:rPr>
                <w:rStyle w:val="ui-provider"/>
                <w:rFonts w:cstheme="minorHAnsi"/>
                <w:sz w:val="22"/>
              </w:rPr>
              <w:t xml:space="preserve"> </w:t>
            </w:r>
            <w:r w:rsidRPr="004E22B5">
              <w:rPr>
                <w:rStyle w:val="ui-provider"/>
                <w:sz w:val="22"/>
              </w:rPr>
              <w:t xml:space="preserve">current clinical practice and guidelines, while ensuring that PBS-listed ocular lubricants remain cost-effective for the eligible population. The PBAC requested information </w:t>
            </w:r>
            <w:r w:rsidRPr="004E22B5">
              <w:rPr>
                <w:rStyle w:val="ui-provider"/>
                <w:rFonts w:cstheme="minorHAnsi"/>
                <w:sz w:val="22"/>
              </w:rPr>
              <w:t xml:space="preserve">be prepared </w:t>
            </w:r>
            <w:r w:rsidRPr="004E22B5">
              <w:rPr>
                <w:rStyle w:val="ui-provider"/>
                <w:sz w:val="22"/>
              </w:rPr>
              <w:t xml:space="preserve">on the utilisation of ocular lubricants and associated costs to the PBS </w:t>
            </w:r>
            <w:r w:rsidRPr="004E22B5">
              <w:rPr>
                <w:rStyle w:val="ui-provider"/>
                <w:rFonts w:cstheme="minorHAnsi"/>
                <w:sz w:val="22"/>
              </w:rPr>
              <w:t xml:space="preserve">to support the Committee’s consideration </w:t>
            </w:r>
            <w:r w:rsidRPr="004E22B5">
              <w:rPr>
                <w:rStyle w:val="ui-provider"/>
                <w:sz w:val="22"/>
              </w:rPr>
              <w:t xml:space="preserve">of any potential changes to the PBS listings </w:t>
            </w:r>
            <w:r w:rsidRPr="004E22B5">
              <w:rPr>
                <w:rStyle w:val="ui-provider"/>
                <w:rFonts w:cstheme="minorHAnsi"/>
                <w:sz w:val="22"/>
              </w:rPr>
              <w:t>of these medicines</w:t>
            </w:r>
            <w:r w:rsidRPr="004E22B5">
              <w:rPr>
                <w:rStyle w:val="ui-provider"/>
                <w:sz w:val="22"/>
              </w:rPr>
              <w:t>.</w:t>
            </w:r>
          </w:p>
          <w:p w14:paraId="3F897C70" w14:textId="11C7D7E4" w:rsidR="00EE7E85" w:rsidRPr="00A2609D" w:rsidRDefault="00EE7E85" w:rsidP="00A2609D">
            <w:pPr>
              <w:pStyle w:val="3-BodyText"/>
              <w:spacing w:before="0"/>
              <w:ind w:left="0" w:firstLine="0"/>
              <w:rPr>
                <w:rStyle w:val="ui-provider"/>
              </w:rPr>
            </w:pPr>
            <w:r w:rsidRPr="00977820">
              <w:rPr>
                <w:rStyle w:val="ui-provider"/>
                <w:rFonts w:cstheme="minorHAnsi"/>
                <w:sz w:val="22"/>
              </w:rPr>
              <w:t>At its</w:t>
            </w:r>
            <w:r w:rsidRPr="00A2609D">
              <w:rPr>
                <w:rStyle w:val="ui-provider"/>
              </w:rPr>
              <w:t xml:space="preserve"> November </w:t>
            </w:r>
            <w:r w:rsidRPr="00977820">
              <w:rPr>
                <w:rStyle w:val="ui-provider"/>
                <w:rFonts w:cstheme="minorHAnsi"/>
                <w:sz w:val="22"/>
              </w:rPr>
              <w:t>2025 meeting</w:t>
            </w:r>
            <w:r w:rsidRPr="00A2609D">
              <w:rPr>
                <w:rStyle w:val="ui-provider"/>
              </w:rPr>
              <w:t xml:space="preserve"> the </w:t>
            </w:r>
            <w:r w:rsidRPr="00977820">
              <w:rPr>
                <w:rStyle w:val="ui-provider"/>
                <w:rFonts w:cstheme="minorHAnsi"/>
                <w:sz w:val="22"/>
              </w:rPr>
              <w:t xml:space="preserve">PBAC </w:t>
            </w:r>
            <w:r w:rsidRPr="00977820">
              <w:rPr>
                <w:rFonts w:cstheme="minorHAnsi"/>
                <w:sz w:val="22"/>
              </w:rPr>
              <w:t>considered</w:t>
            </w:r>
            <w:r w:rsidRPr="007D51F6">
              <w:rPr>
                <w:sz w:val="22"/>
              </w:rPr>
              <w:t xml:space="preserve"> the </w:t>
            </w:r>
            <w:r w:rsidRPr="00977820">
              <w:rPr>
                <w:rFonts w:cstheme="minorHAnsi"/>
                <w:sz w:val="22"/>
              </w:rPr>
              <w:t>draft report on</w:t>
            </w:r>
            <w:r w:rsidRPr="007D51F6">
              <w:rPr>
                <w:sz w:val="22"/>
              </w:rPr>
              <w:t xml:space="preserve"> the </w:t>
            </w:r>
            <w:r w:rsidRPr="007D51F6">
              <w:rPr>
                <w:i/>
                <w:sz w:val="22"/>
              </w:rPr>
              <w:t>Utilisation analysis and</w:t>
            </w:r>
            <w:r w:rsidRPr="00977820">
              <w:rPr>
                <w:rFonts w:cstheme="minorHAnsi"/>
                <w:i/>
                <w:iCs/>
                <w:sz w:val="22"/>
              </w:rPr>
              <w:t xml:space="preserve"> financial estimates for</w:t>
            </w:r>
            <w:r w:rsidRPr="007D51F6">
              <w:rPr>
                <w:i/>
                <w:sz w:val="22"/>
              </w:rPr>
              <w:t xml:space="preserve"> potential changes to the restrictions for PBS listings of ocular lubricants in patients with severe dry eye</w:t>
            </w:r>
            <w:r w:rsidRPr="00977820">
              <w:rPr>
                <w:rFonts w:cstheme="minorHAnsi"/>
                <w:i/>
                <w:iCs/>
                <w:sz w:val="22"/>
              </w:rPr>
              <w:t xml:space="preserve">. </w:t>
            </w:r>
            <w:r w:rsidRPr="00977820">
              <w:rPr>
                <w:rFonts w:cstheme="minorHAnsi"/>
                <w:sz w:val="22"/>
              </w:rPr>
              <w:t xml:space="preserve">The PBAC noted the </w:t>
            </w:r>
            <w:r w:rsidR="00036012" w:rsidRPr="000A20DC">
              <w:rPr>
                <w:rFonts w:cstheme="minorHAnsi"/>
                <w:sz w:val="22"/>
              </w:rPr>
              <w:t>DUSC</w:t>
            </w:r>
            <w:r w:rsidRPr="00977820">
              <w:rPr>
                <w:rFonts w:cstheme="minorHAnsi"/>
                <w:sz w:val="22"/>
              </w:rPr>
              <w:t xml:space="preserve"> advice on the Report and on the options for changing the PBS restrictions for PF ocular lubricants to moderate expenditure, given that much of the market has already transitioned to PF ocular lubricants.</w:t>
            </w:r>
            <w:r w:rsidR="00A27AB4">
              <w:rPr>
                <w:rFonts w:cstheme="minorHAnsi"/>
                <w:sz w:val="22"/>
              </w:rPr>
              <w:t xml:space="preserve"> </w:t>
            </w:r>
            <w:r w:rsidRPr="00977820">
              <w:rPr>
                <w:rFonts w:cstheme="minorHAnsi"/>
                <w:sz w:val="22"/>
              </w:rPr>
              <w:t>The PBAC recommended to change authorised PBS prescriber types for PF ocular lubricants and PBS restrictions to allow prescribing by optometrists and ophthalmologists only</w:t>
            </w:r>
            <w:r w:rsidRPr="007D51F6">
              <w:rPr>
                <w:sz w:val="22"/>
              </w:rPr>
              <w:t>.</w:t>
            </w:r>
          </w:p>
          <w:p w14:paraId="11F84E5F" w14:textId="77777777" w:rsidR="004C1521" w:rsidRPr="000A20DC" w:rsidRDefault="004C1521" w:rsidP="00A2609D">
            <w:pPr>
              <w:jc w:val="both"/>
              <w:rPr>
                <w:rFonts w:asciiTheme="minorHAnsi" w:eastAsiaTheme="minorHAnsi" w:hAnsiTheme="minorHAnsi" w:cstheme="minorHAnsi"/>
                <w:b/>
                <w:bCs/>
                <w:sz w:val="22"/>
                <w:szCs w:val="22"/>
                <w:lang w:eastAsia="en-US"/>
              </w:rPr>
            </w:pPr>
          </w:p>
          <w:p w14:paraId="1CCB2C43" w14:textId="77777777" w:rsidR="00D3413A" w:rsidRPr="000A20DC" w:rsidRDefault="00D3413A" w:rsidP="00A2609D">
            <w:pPr>
              <w:jc w:val="both"/>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396DBB8A" w14:textId="2B2595C0" w:rsidR="00D3413A" w:rsidRPr="00977820" w:rsidRDefault="00EE7E85" w:rsidP="00977820">
            <w:pPr>
              <w:jc w:val="both"/>
              <w:rPr>
                <w:rFonts w:asciiTheme="minorHAnsi" w:hAnsiTheme="minorHAnsi" w:cstheme="minorHAnsi"/>
                <w:sz w:val="22"/>
                <w:szCs w:val="22"/>
              </w:rPr>
            </w:pPr>
            <w:r w:rsidRPr="000A20DC">
              <w:rPr>
                <w:rFonts w:asciiTheme="minorHAnsi" w:eastAsiaTheme="minorHAnsi" w:hAnsiTheme="minorHAnsi" w:cstheme="minorHAnsi"/>
                <w:sz w:val="22"/>
                <w:szCs w:val="22"/>
                <w:lang w:eastAsia="en-US"/>
              </w:rPr>
              <w:t xml:space="preserve">At its March 2026 meeting, </w:t>
            </w:r>
            <w:r w:rsidRPr="00977820">
              <w:rPr>
                <w:rFonts w:asciiTheme="minorHAnsi" w:eastAsiaTheme="minorHAnsi" w:hAnsiTheme="minorHAnsi" w:cstheme="minorHAnsi"/>
                <w:sz w:val="22"/>
                <w:szCs w:val="22"/>
              </w:rPr>
              <w:t xml:space="preserve">the PBAC </w:t>
            </w:r>
            <w:r w:rsidRPr="00977820">
              <w:rPr>
                <w:rFonts w:asciiTheme="minorHAnsi" w:hAnsiTheme="minorHAnsi" w:cstheme="minorHAnsi"/>
                <w:sz w:val="22"/>
                <w:szCs w:val="22"/>
              </w:rPr>
              <w:t xml:space="preserve">noted correspondence from the RACGP to the Department expressing opposition to the November 2025 recommendations to restrict PBS subsidy of PF ocular lubricants to prescribing by ophthalmologists and optometrists, and to remove GPs and NPs as authorised prescribers. The PBAC considered that changes to prescribing arrangements could disproportionately impact patients </w:t>
            </w:r>
            <w:r w:rsidR="00036012" w:rsidRPr="00977820">
              <w:rPr>
                <w:rFonts w:asciiTheme="minorHAnsi" w:hAnsiTheme="minorHAnsi" w:cstheme="minorHAnsi"/>
                <w:sz w:val="22"/>
                <w:szCs w:val="22"/>
              </w:rPr>
              <w:t>in rural and remote areas</w:t>
            </w:r>
            <w:r w:rsidRPr="00977820">
              <w:rPr>
                <w:rFonts w:asciiTheme="minorHAnsi" w:hAnsiTheme="minorHAnsi" w:cstheme="minorHAnsi"/>
                <w:sz w:val="22"/>
                <w:szCs w:val="22"/>
              </w:rPr>
              <w:t xml:space="preserve"> who rely on GPs for ongoing management.</w:t>
            </w:r>
          </w:p>
          <w:p w14:paraId="553D2050" w14:textId="77777777" w:rsidR="00EE7E85" w:rsidRPr="00977820" w:rsidRDefault="00EE7E85" w:rsidP="00A2609D">
            <w:pPr>
              <w:jc w:val="both"/>
              <w:rPr>
                <w:rFonts w:asciiTheme="minorHAnsi" w:hAnsiTheme="minorHAnsi" w:cstheme="minorHAnsi"/>
                <w:sz w:val="22"/>
                <w:szCs w:val="22"/>
              </w:rPr>
            </w:pPr>
          </w:p>
          <w:p w14:paraId="6C4D773C" w14:textId="2B686832" w:rsidR="00EE7E85" w:rsidRPr="00977820" w:rsidRDefault="00EE7E85" w:rsidP="00977820">
            <w:pPr>
              <w:jc w:val="both"/>
              <w:rPr>
                <w:rFonts w:asciiTheme="minorHAnsi" w:hAnsiTheme="minorHAnsi" w:cstheme="minorHAnsi"/>
                <w:sz w:val="22"/>
                <w:szCs w:val="22"/>
              </w:rPr>
            </w:pPr>
            <w:r w:rsidRPr="00977820">
              <w:rPr>
                <w:rFonts w:asciiTheme="minorHAnsi" w:hAnsiTheme="minorHAnsi" w:cstheme="minorHAnsi"/>
                <w:sz w:val="22"/>
                <w:szCs w:val="22"/>
              </w:rPr>
              <w:t>The PBAC rescinded its November 2025 recommendation regarding changes to the prescribing arrangements for PF ocular lubricants</w:t>
            </w:r>
            <w:r w:rsidRPr="000A20DC">
              <w:rPr>
                <w:rFonts w:asciiTheme="minorHAnsi" w:hAnsiTheme="minorHAnsi" w:cstheme="minorHAnsi"/>
                <w:sz w:val="22"/>
                <w:szCs w:val="22"/>
              </w:rPr>
              <w:t>.</w:t>
            </w:r>
            <w:r w:rsidR="00036012" w:rsidRPr="000A20DC">
              <w:rPr>
                <w:rFonts w:asciiTheme="minorHAnsi" w:hAnsiTheme="minorHAnsi" w:cstheme="minorHAnsi"/>
                <w:sz w:val="22"/>
                <w:szCs w:val="22"/>
              </w:rPr>
              <w:t xml:space="preserve"> </w:t>
            </w:r>
            <w:r w:rsidR="00036012" w:rsidRPr="00977820">
              <w:rPr>
                <w:rFonts w:asciiTheme="minorHAnsi" w:hAnsiTheme="minorHAnsi" w:cstheme="minorHAnsi"/>
                <w:sz w:val="22"/>
                <w:szCs w:val="22"/>
              </w:rPr>
              <w:t xml:space="preserve">The PBAC requested that the Department instead seek to </w:t>
            </w:r>
            <w:r w:rsidR="00036012" w:rsidRPr="00977820">
              <w:rPr>
                <w:rFonts w:asciiTheme="minorHAnsi" w:hAnsiTheme="minorHAnsi" w:cstheme="minorHAnsi"/>
                <w:sz w:val="22"/>
                <w:szCs w:val="22"/>
              </w:rPr>
              <w:lastRenderedPageBreak/>
              <w:t>negotiate a reduction in the price of PF ocular lubricants with sponsors. This reflected the continued price divergence between PF and PC products and the sustained growth in PBS expenditure on PF ocular lubricants. In instances where a price reduction is negotiated with sponsors, the PBAC recommended that the restriction level for PF ocular lubricants be changed to a Restricted Benefit listing for severe dry eye.</w:t>
            </w:r>
          </w:p>
          <w:p w14:paraId="10F6A89C" w14:textId="77777777" w:rsidR="00036012" w:rsidRPr="00977820" w:rsidRDefault="00036012" w:rsidP="00A2609D">
            <w:pPr>
              <w:jc w:val="both"/>
              <w:rPr>
                <w:rFonts w:asciiTheme="minorHAnsi" w:hAnsiTheme="minorHAnsi" w:cstheme="minorHAnsi"/>
                <w:sz w:val="22"/>
                <w:szCs w:val="22"/>
              </w:rPr>
            </w:pPr>
          </w:p>
          <w:p w14:paraId="3EBED729" w14:textId="77777777" w:rsidR="00036012" w:rsidRPr="00977820" w:rsidRDefault="00036012" w:rsidP="00977820">
            <w:pPr>
              <w:pStyle w:val="3-BodyText"/>
              <w:spacing w:before="0"/>
              <w:ind w:left="0" w:firstLine="0"/>
              <w:rPr>
                <w:rFonts w:cstheme="minorHAnsi"/>
                <w:sz w:val="22"/>
              </w:rPr>
            </w:pPr>
            <w:r w:rsidRPr="007D51F6">
              <w:rPr>
                <w:sz w:val="22"/>
              </w:rPr>
              <w:t xml:space="preserve">The PBAC </w:t>
            </w:r>
            <w:r w:rsidRPr="00977820">
              <w:rPr>
                <w:rFonts w:cstheme="minorHAnsi"/>
                <w:sz w:val="22"/>
              </w:rPr>
              <w:t>further advised that, should negotiations not result in an acceptable price reduction, the Committee would be of a mind to recommend a change to the authority requirements for PF ocular lubricants from Authority Required (Streamlined) to Authority Required (Telephone/Online) to support management of PBS utilisation and expenditure.</w:t>
            </w:r>
          </w:p>
          <w:p w14:paraId="77BDC76C" w14:textId="77777777" w:rsidR="00070607" w:rsidRPr="000A20DC" w:rsidRDefault="00070607" w:rsidP="00D3413A">
            <w:pPr>
              <w:rPr>
                <w:rFonts w:asciiTheme="minorHAnsi" w:eastAsiaTheme="minorHAnsi" w:hAnsiTheme="minorHAnsi" w:cstheme="minorHAnsi"/>
                <w:sz w:val="22"/>
                <w:szCs w:val="22"/>
                <w:lang w:eastAsia="en-US"/>
              </w:rPr>
            </w:pPr>
          </w:p>
          <w:p w14:paraId="41C075A0"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Next steps</w:t>
            </w:r>
          </w:p>
          <w:p w14:paraId="0F6D4276" w14:textId="3CDD5AF9" w:rsidR="00D3413A" w:rsidRPr="000A20DC" w:rsidRDefault="00036012"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sz w:val="22"/>
                <w:szCs w:val="22"/>
                <w:lang w:eastAsia="en-US"/>
              </w:rPr>
              <w:t xml:space="preserve">The Department will </w:t>
            </w:r>
            <w:r w:rsidR="0065703C" w:rsidRPr="000A20DC">
              <w:rPr>
                <w:rFonts w:asciiTheme="minorHAnsi" w:eastAsiaTheme="minorHAnsi" w:hAnsiTheme="minorHAnsi" w:cstheme="minorHAnsi"/>
                <w:sz w:val="22"/>
                <w:szCs w:val="22"/>
                <w:lang w:eastAsia="en-US"/>
              </w:rPr>
              <w:t>enter</w:t>
            </w:r>
            <w:r w:rsidRPr="000A20DC">
              <w:rPr>
                <w:rFonts w:asciiTheme="minorHAnsi" w:eastAsiaTheme="minorHAnsi" w:hAnsiTheme="minorHAnsi" w:cstheme="minorHAnsi"/>
                <w:sz w:val="22"/>
                <w:szCs w:val="22"/>
                <w:lang w:eastAsia="en-US"/>
              </w:rPr>
              <w:t xml:space="preserve"> negotiations with sponsors of PF ocular lubricants for a price reduction as recommended by the PBAC. </w:t>
            </w:r>
          </w:p>
        </w:tc>
        <w:tc>
          <w:tcPr>
            <w:tcW w:w="2873" w:type="dxa"/>
            <w:tcBorders>
              <w:top w:val="single" w:sz="8" w:space="0" w:color="auto"/>
              <w:left w:val="single" w:sz="8" w:space="0" w:color="auto"/>
              <w:bottom w:val="single" w:sz="8" w:space="0" w:color="auto"/>
              <w:right w:val="single" w:sz="8" w:space="0" w:color="auto"/>
            </w:tcBorders>
            <w:hideMark/>
          </w:tcPr>
          <w:p w14:paraId="6D9B5958" w14:textId="12F7CDD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PBS</w:t>
            </w:r>
            <w:r w:rsidR="00A27AB4">
              <w:rPr>
                <w:rFonts w:asciiTheme="minorHAnsi" w:eastAsiaTheme="minorHAnsi" w:hAnsiTheme="minorHAnsi" w:cstheme="minorHAnsi"/>
                <w:sz w:val="22"/>
                <w:szCs w:val="22"/>
                <w:lang w:eastAsia="en-US"/>
              </w:rPr>
              <w:t>-</w:t>
            </w:r>
            <w:r w:rsidRPr="000A20DC">
              <w:rPr>
                <w:rFonts w:asciiTheme="minorHAnsi" w:eastAsiaTheme="minorHAnsi" w:hAnsiTheme="minorHAnsi" w:cstheme="minorHAnsi"/>
                <w:sz w:val="22"/>
                <w:szCs w:val="22"/>
                <w:lang w:eastAsia="en-US"/>
              </w:rPr>
              <w:t xml:space="preserve">listed preservative containing and preservative free ocular lubricants </w:t>
            </w:r>
          </w:p>
        </w:tc>
      </w:tr>
      <w:tr w:rsidR="00D3413A" w:rsidRPr="000A20DC" w14:paraId="4C44CBA8" w14:textId="77777777" w:rsidTr="00A2609D">
        <w:trPr>
          <w:trHeight w:val="300"/>
        </w:trPr>
        <w:tc>
          <w:tcPr>
            <w:tcW w:w="2542" w:type="dxa"/>
            <w:tcBorders>
              <w:top w:val="single" w:sz="8" w:space="0" w:color="auto"/>
              <w:left w:val="single" w:sz="8" w:space="0" w:color="auto"/>
              <w:bottom w:val="single" w:sz="8" w:space="0" w:color="auto"/>
              <w:right w:val="single" w:sz="8" w:space="0" w:color="auto"/>
            </w:tcBorders>
            <w:hideMark/>
          </w:tcPr>
          <w:p w14:paraId="7AA47A7D"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Hypertension</w:t>
            </w:r>
          </w:p>
        </w:tc>
        <w:tc>
          <w:tcPr>
            <w:tcW w:w="8745" w:type="dxa"/>
            <w:tcBorders>
              <w:top w:val="single" w:sz="8" w:space="0" w:color="auto"/>
              <w:left w:val="single" w:sz="8" w:space="0" w:color="auto"/>
              <w:bottom w:val="single" w:sz="8" w:space="0" w:color="auto"/>
              <w:right w:val="single" w:sz="8" w:space="0" w:color="auto"/>
            </w:tcBorders>
          </w:tcPr>
          <w:p w14:paraId="12FC0107"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Utilisation analysis of antihypertensives</w:t>
            </w:r>
          </w:p>
          <w:p w14:paraId="193543A5" w14:textId="77777777" w:rsidR="004C1521" w:rsidRPr="000A20DC" w:rsidRDefault="004C1521" w:rsidP="00D3413A">
            <w:pPr>
              <w:rPr>
                <w:rFonts w:asciiTheme="minorHAnsi" w:eastAsiaTheme="minorHAnsi" w:hAnsiTheme="minorHAnsi" w:cstheme="minorHAnsi"/>
                <w:b/>
                <w:bCs/>
                <w:sz w:val="22"/>
                <w:szCs w:val="22"/>
                <w:lang w:eastAsia="en-US"/>
              </w:rPr>
            </w:pPr>
          </w:p>
          <w:p w14:paraId="68C02782"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b/>
                <w:bCs/>
                <w:sz w:val="22"/>
                <w:szCs w:val="22"/>
                <w:lang w:eastAsia="en-US"/>
              </w:rPr>
              <w:t>Background</w:t>
            </w:r>
          </w:p>
          <w:p w14:paraId="2EB88862" w14:textId="47A05A3E"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In September 2023, the PBAC recommended that the Department undertake a research project on the use of antihypertensive medications through the PBS, focusing on quantifying the potential underuse of fixed dose combination (FDC) medicines, and initiation of antihypertensive therapy with two or more medicines (including initiation with an FDC versus multiple single drug products). The PBAC noted that the PBS restrictions do not allow patients to initiate subsidised antihypertensive therapy with an FDC as recommended in some clinical guidelines.</w:t>
            </w:r>
          </w:p>
          <w:p w14:paraId="7854EF7D" w14:textId="77777777" w:rsidR="00D3413A" w:rsidRPr="000A20DC" w:rsidRDefault="00D3413A" w:rsidP="00D3413A">
            <w:pPr>
              <w:rPr>
                <w:rFonts w:asciiTheme="minorHAnsi" w:eastAsiaTheme="minorHAnsi" w:hAnsiTheme="minorHAnsi" w:cstheme="minorHAnsi"/>
                <w:sz w:val="22"/>
                <w:szCs w:val="22"/>
                <w:lang w:eastAsia="en-US"/>
              </w:rPr>
            </w:pPr>
          </w:p>
          <w:p w14:paraId="662E65A9" w14:textId="7F3B71F2" w:rsidR="009A3CA1"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The Department contracted </w:t>
            </w:r>
            <w:r w:rsidR="009A3CA1" w:rsidRPr="000A20DC">
              <w:rPr>
                <w:rFonts w:asciiTheme="minorHAnsi" w:eastAsiaTheme="minorHAnsi" w:hAnsiTheme="minorHAnsi" w:cstheme="minorHAnsi"/>
                <w:sz w:val="22"/>
                <w:szCs w:val="22"/>
                <w:lang w:eastAsia="en-US"/>
              </w:rPr>
              <w:t xml:space="preserve">the University of South Australia </w:t>
            </w:r>
            <w:r w:rsidRPr="000A20DC">
              <w:rPr>
                <w:rFonts w:asciiTheme="minorHAnsi" w:eastAsiaTheme="minorHAnsi" w:hAnsiTheme="minorHAnsi" w:cstheme="minorHAnsi"/>
                <w:sz w:val="22"/>
                <w:szCs w:val="22"/>
                <w:lang w:eastAsia="en-US"/>
              </w:rPr>
              <w:t>to undertake this project. In addition to the utilisation analysis, the report included a literature review and costings analysis.</w:t>
            </w:r>
          </w:p>
          <w:p w14:paraId="1505F141" w14:textId="77777777" w:rsidR="009A3CA1" w:rsidRPr="000A20DC" w:rsidRDefault="009A3CA1" w:rsidP="00D3413A">
            <w:pPr>
              <w:rPr>
                <w:rFonts w:asciiTheme="minorHAnsi" w:eastAsiaTheme="minorHAnsi" w:hAnsiTheme="minorHAnsi" w:cstheme="minorHAnsi"/>
                <w:sz w:val="22"/>
                <w:szCs w:val="22"/>
                <w:lang w:eastAsia="en-US"/>
              </w:rPr>
            </w:pPr>
          </w:p>
          <w:p w14:paraId="059FE091" w14:textId="414DB2F6" w:rsidR="009A3CA1" w:rsidRPr="000A20DC" w:rsidRDefault="009A3CA1" w:rsidP="009A3CA1">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The PBAC considered the report at the December 2024 meeting and recommended changing the PBS restrictions for all antihypertensive dual therapy FDCs to unrestricted benefit listings, with the 60-day prescription items to remain Restricted Benefit listings with a single clinical criterion requiring the patient’s condition to be stable. These changes allow patients to initiate antihypertensive therapy with an FDC.</w:t>
            </w:r>
          </w:p>
          <w:p w14:paraId="6176C682" w14:textId="77777777" w:rsidR="009A3CA1" w:rsidRPr="000A20DC" w:rsidRDefault="009A3CA1" w:rsidP="009A3CA1">
            <w:pPr>
              <w:rPr>
                <w:rFonts w:asciiTheme="minorHAnsi" w:eastAsiaTheme="minorHAnsi" w:hAnsiTheme="minorHAnsi" w:cstheme="minorHAnsi"/>
                <w:sz w:val="22"/>
                <w:szCs w:val="22"/>
                <w:lang w:eastAsia="en-US"/>
              </w:rPr>
            </w:pPr>
          </w:p>
          <w:p w14:paraId="647E0473" w14:textId="77777777" w:rsidR="009A3CA1" w:rsidRPr="000A20DC" w:rsidRDefault="009A3CA1" w:rsidP="009A3CA1">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lastRenderedPageBreak/>
              <w:t>Status</w:t>
            </w:r>
          </w:p>
          <w:p w14:paraId="24AA4D08" w14:textId="696FA72F" w:rsidR="009A3CA1" w:rsidRPr="000A20DC" w:rsidRDefault="009A3CA1" w:rsidP="009A3CA1">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The restriction changes were implemented on 1 April 2026. The Report and PBAC </w:t>
            </w:r>
            <w:r w:rsidR="00A27AB4">
              <w:rPr>
                <w:rFonts w:asciiTheme="minorHAnsi" w:eastAsiaTheme="minorHAnsi" w:hAnsiTheme="minorHAnsi" w:cstheme="minorHAnsi"/>
                <w:sz w:val="22"/>
                <w:szCs w:val="22"/>
                <w:lang w:eastAsia="en-US"/>
              </w:rPr>
              <w:t>m</w:t>
            </w:r>
            <w:r w:rsidRPr="000A20DC">
              <w:rPr>
                <w:rFonts w:asciiTheme="minorHAnsi" w:eastAsiaTheme="minorHAnsi" w:hAnsiTheme="minorHAnsi" w:cstheme="minorHAnsi"/>
                <w:sz w:val="22"/>
                <w:szCs w:val="22"/>
                <w:lang w:eastAsia="en-US"/>
              </w:rPr>
              <w:t>inutes have been published on the PBS website (</w:t>
            </w:r>
            <w:hyperlink r:id="rId15" w:history="1">
              <w:r w:rsidRPr="000A20DC">
                <w:rPr>
                  <w:rStyle w:val="Hyperlink"/>
                  <w:rFonts w:asciiTheme="minorHAnsi" w:eastAsiaTheme="minorHAnsi" w:hAnsiTheme="minorHAnsi" w:cstheme="minorHAnsi"/>
                  <w:sz w:val="22"/>
                  <w:szCs w:val="22"/>
                  <w:lang w:eastAsia="en-US"/>
                </w:rPr>
                <w:t>PBS restriction changes for antihypertensive dual therapy fixed dose combinations</w:t>
              </w:r>
            </w:hyperlink>
            <w:r w:rsidRPr="000A20DC">
              <w:rPr>
                <w:rFonts w:asciiTheme="minorHAnsi" w:eastAsiaTheme="minorHAnsi" w:hAnsiTheme="minorHAnsi" w:cstheme="minorHAnsi"/>
                <w:sz w:val="22"/>
                <w:szCs w:val="22"/>
                <w:lang w:eastAsia="en-US"/>
              </w:rPr>
              <w:t>).</w:t>
            </w:r>
            <w:r w:rsidR="00EE2C2B" w:rsidRPr="000A20DC">
              <w:rPr>
                <w:rFonts w:asciiTheme="minorHAnsi" w:eastAsiaTheme="minorHAnsi" w:hAnsiTheme="minorHAnsi" w:cstheme="minorHAnsi"/>
                <w:sz w:val="22"/>
                <w:szCs w:val="22"/>
                <w:lang w:eastAsia="en-US"/>
              </w:rPr>
              <w:t xml:space="preserve"> The report findings, including quality use of medicines issues identified, </w:t>
            </w:r>
            <w:r w:rsidR="00EE2C2B">
              <w:rPr>
                <w:rFonts w:asciiTheme="minorHAnsi" w:eastAsiaTheme="minorHAnsi" w:hAnsiTheme="minorHAnsi" w:cstheme="minorHAnsi"/>
                <w:sz w:val="22"/>
                <w:szCs w:val="22"/>
                <w:lang w:eastAsia="en-US"/>
              </w:rPr>
              <w:t xml:space="preserve">were also communicated to </w:t>
            </w:r>
            <w:r w:rsidR="00EE2C2B" w:rsidRPr="000A20DC">
              <w:rPr>
                <w:rFonts w:asciiTheme="minorHAnsi" w:eastAsiaTheme="minorHAnsi" w:hAnsiTheme="minorHAnsi" w:cstheme="minorHAnsi"/>
                <w:sz w:val="22"/>
                <w:szCs w:val="22"/>
                <w:lang w:eastAsia="en-US"/>
              </w:rPr>
              <w:t>relevant publications and peak bodies.</w:t>
            </w:r>
          </w:p>
          <w:p w14:paraId="31487EDF" w14:textId="77777777" w:rsidR="004C1521" w:rsidRPr="000A20DC" w:rsidRDefault="004C1521" w:rsidP="00D3413A">
            <w:pPr>
              <w:rPr>
                <w:rFonts w:asciiTheme="minorHAnsi" w:eastAsiaTheme="minorHAnsi" w:hAnsiTheme="minorHAnsi" w:cstheme="minorHAnsi"/>
                <w:sz w:val="22"/>
                <w:szCs w:val="22"/>
                <w:lang w:eastAsia="en-US"/>
              </w:rPr>
            </w:pPr>
          </w:p>
          <w:p w14:paraId="6F304F78"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b/>
                <w:bCs/>
                <w:sz w:val="22"/>
                <w:szCs w:val="22"/>
                <w:lang w:eastAsia="en-US"/>
              </w:rPr>
              <w:t>Next steps</w:t>
            </w:r>
          </w:p>
          <w:p w14:paraId="47DA3AA3" w14:textId="291649A6" w:rsidR="00D3413A" w:rsidRPr="000A20DC" w:rsidRDefault="009A3CA1" w:rsidP="00572756">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Project complete. </w:t>
            </w:r>
          </w:p>
        </w:tc>
        <w:tc>
          <w:tcPr>
            <w:tcW w:w="2873" w:type="dxa"/>
            <w:tcBorders>
              <w:top w:val="single" w:sz="8" w:space="0" w:color="auto"/>
              <w:left w:val="single" w:sz="8" w:space="0" w:color="auto"/>
              <w:bottom w:val="single" w:sz="8" w:space="0" w:color="auto"/>
              <w:right w:val="single" w:sz="8" w:space="0" w:color="auto"/>
            </w:tcBorders>
            <w:hideMark/>
          </w:tcPr>
          <w:p w14:paraId="1A08522A"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PBS-listed antihypertensives</w:t>
            </w:r>
          </w:p>
        </w:tc>
      </w:tr>
      <w:tr w:rsidR="00D3413A" w:rsidRPr="000A20DC" w14:paraId="443EF072" w14:textId="77777777" w:rsidTr="00A2609D">
        <w:trPr>
          <w:trHeight w:val="300"/>
        </w:trPr>
        <w:tc>
          <w:tcPr>
            <w:tcW w:w="2542" w:type="dxa"/>
            <w:tcBorders>
              <w:top w:val="single" w:sz="8" w:space="0" w:color="auto"/>
              <w:left w:val="single" w:sz="8" w:space="0" w:color="auto"/>
              <w:bottom w:val="single" w:sz="8" w:space="0" w:color="auto"/>
              <w:right w:val="single" w:sz="8" w:space="0" w:color="auto"/>
            </w:tcBorders>
            <w:hideMark/>
          </w:tcPr>
          <w:p w14:paraId="68EA1198"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Relapsing-remitting multiple sclerosis </w:t>
            </w:r>
          </w:p>
        </w:tc>
        <w:tc>
          <w:tcPr>
            <w:tcW w:w="8745" w:type="dxa"/>
            <w:tcBorders>
              <w:top w:val="single" w:sz="8" w:space="0" w:color="auto"/>
              <w:left w:val="single" w:sz="8" w:space="0" w:color="auto"/>
              <w:bottom w:val="single" w:sz="8" w:space="0" w:color="auto"/>
              <w:right w:val="single" w:sz="8" w:space="0" w:color="auto"/>
            </w:tcBorders>
          </w:tcPr>
          <w:p w14:paraId="76B1E189"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Utilisation analysis of PBS-listed disease modifying therapies for relapsing-remitting multiple sclerosis (RRMS)</w:t>
            </w:r>
          </w:p>
          <w:p w14:paraId="57A4ADF7" w14:textId="77777777" w:rsidR="004C1521" w:rsidRPr="000A20DC" w:rsidRDefault="004C1521" w:rsidP="00D3413A">
            <w:pPr>
              <w:rPr>
                <w:rFonts w:asciiTheme="minorHAnsi" w:eastAsiaTheme="minorHAnsi" w:hAnsiTheme="minorHAnsi" w:cstheme="minorHAnsi"/>
                <w:b/>
                <w:bCs/>
                <w:sz w:val="22"/>
                <w:szCs w:val="22"/>
                <w:lang w:eastAsia="en-US"/>
              </w:rPr>
            </w:pPr>
          </w:p>
          <w:p w14:paraId="21264580"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Background</w:t>
            </w:r>
          </w:p>
          <w:p w14:paraId="5444F55F" w14:textId="47480332"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In September 2024, the PBAC noted that the PBS prices of high-efficacy disease modifying therapies (DMTs) for RRMS have diverged since the price reduction of fingolimod on 1</w:t>
            </w:r>
            <w:r w:rsidR="008D1E29">
              <w:rPr>
                <w:rFonts w:asciiTheme="minorHAnsi" w:eastAsiaTheme="minorHAnsi" w:hAnsiTheme="minorHAnsi" w:cstheme="minorHAnsi"/>
                <w:sz w:val="22"/>
                <w:szCs w:val="22"/>
                <w:lang w:eastAsia="en-US"/>
              </w:rPr>
              <w:t> </w:t>
            </w:r>
            <w:r w:rsidRPr="000A20DC">
              <w:rPr>
                <w:rFonts w:asciiTheme="minorHAnsi" w:eastAsiaTheme="minorHAnsi" w:hAnsiTheme="minorHAnsi" w:cstheme="minorHAnsi"/>
                <w:sz w:val="22"/>
                <w:szCs w:val="22"/>
                <w:lang w:eastAsia="en-US"/>
              </w:rPr>
              <w:t>December 2022. The PBAC recalled that there is currently no PBS requirement for patients to trial less costly medicines for RRMS before moving to more expensive therapies. The PBAC noted that an analysis of the PBS market for RRMS medicines has not been undertaken for some time and advised that a utilisation analysis of the current market for PBS-listed medicines for RRMS, including information around the market share of fingolimod, would be informative.</w:t>
            </w:r>
          </w:p>
          <w:p w14:paraId="442AEDF0" w14:textId="77777777" w:rsidR="004C1521" w:rsidRPr="000A20DC" w:rsidRDefault="004C1521" w:rsidP="00D3413A">
            <w:pPr>
              <w:rPr>
                <w:rFonts w:asciiTheme="minorHAnsi" w:eastAsiaTheme="minorHAnsi" w:hAnsiTheme="minorHAnsi" w:cstheme="minorHAnsi"/>
                <w:b/>
                <w:bCs/>
                <w:sz w:val="22"/>
                <w:szCs w:val="22"/>
                <w:lang w:eastAsia="en-US"/>
              </w:rPr>
            </w:pPr>
          </w:p>
          <w:p w14:paraId="74862E5A"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372C939F" w14:textId="77777777" w:rsidR="00645409" w:rsidRDefault="00645409">
            <w:pPr>
              <w:rPr>
                <w:kern w:val="2"/>
                <w:szCs w:val="24"/>
                <w14:ligatures w14:val="standardContextual"/>
              </w:rPr>
            </w:pPr>
            <w:r>
              <w:rPr>
                <w:rFonts w:ascii="Calibri" w:hAnsi="Calibri" w:cs="Calibri"/>
                <w:sz w:val="22"/>
                <w:szCs w:val="22"/>
              </w:rPr>
              <w:t>In June 2025, the DUSC considered the utilisation analysis of PBS-listed disease modifying therapies for RRMS. DUSC considered the increasing use of newer generation DMTs (e.g. ocrelizumab, ofatumumab, natalizumab) was replacing older DMTs (e.g. fingolimod) and moderate efficacy DMTs, in line with current clinical practice, and noted the increasing market share of newer generation DMTs had not increased the overall benefits paid (based on effective prices) for PBS-listed DMTs. DUSC considered a data linkage process may lead to useful insights on why incident patients were declining in this cohort.</w:t>
            </w:r>
          </w:p>
          <w:p w14:paraId="3EF1510C" w14:textId="77777777" w:rsidR="00D3413A" w:rsidRPr="000A20DC" w:rsidRDefault="00D3413A" w:rsidP="00D3413A">
            <w:pPr>
              <w:rPr>
                <w:rFonts w:asciiTheme="minorHAnsi" w:eastAsiaTheme="minorHAnsi" w:hAnsiTheme="minorHAnsi" w:cstheme="minorHAnsi"/>
                <w:sz w:val="22"/>
                <w:szCs w:val="22"/>
                <w:lang w:eastAsia="en-US"/>
              </w:rPr>
            </w:pPr>
          </w:p>
          <w:p w14:paraId="1E9B4559" w14:textId="695ED1D6" w:rsidR="00D3413A" w:rsidRDefault="007862E0"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sz w:val="22"/>
                <w:szCs w:val="22"/>
                <w:lang w:eastAsia="en-US"/>
              </w:rPr>
              <w:t>The</w:t>
            </w:r>
            <w:r w:rsidR="00D3413A" w:rsidRPr="000A20DC">
              <w:rPr>
                <w:rFonts w:asciiTheme="minorHAnsi" w:eastAsiaTheme="minorHAnsi" w:hAnsiTheme="minorHAnsi" w:cstheme="minorHAnsi"/>
                <w:sz w:val="22"/>
                <w:szCs w:val="22"/>
                <w:lang w:eastAsia="en-US"/>
              </w:rPr>
              <w:t xml:space="preserve"> report </w:t>
            </w:r>
            <w:r w:rsidRPr="000A20DC">
              <w:rPr>
                <w:rFonts w:asciiTheme="minorHAnsi" w:eastAsiaTheme="minorHAnsi" w:hAnsiTheme="minorHAnsi" w:cstheme="minorHAnsi"/>
                <w:sz w:val="22"/>
                <w:szCs w:val="22"/>
                <w:lang w:eastAsia="en-US"/>
              </w:rPr>
              <w:t>was presented to PBAC</w:t>
            </w:r>
            <w:r w:rsidR="00572756" w:rsidRPr="000A20DC">
              <w:rPr>
                <w:rFonts w:asciiTheme="minorHAnsi" w:eastAsiaTheme="minorHAnsi" w:hAnsiTheme="minorHAnsi" w:cstheme="minorHAnsi"/>
                <w:sz w:val="22"/>
                <w:szCs w:val="22"/>
                <w:lang w:eastAsia="en-US"/>
              </w:rPr>
              <w:t xml:space="preserve"> </w:t>
            </w:r>
            <w:r w:rsidR="00096AA2">
              <w:rPr>
                <w:rFonts w:asciiTheme="minorHAnsi" w:eastAsiaTheme="minorHAnsi" w:hAnsiTheme="minorHAnsi" w:cstheme="minorHAnsi"/>
                <w:sz w:val="22"/>
                <w:szCs w:val="22"/>
                <w:lang w:eastAsia="en-US"/>
              </w:rPr>
              <w:t xml:space="preserve">in </w:t>
            </w:r>
            <w:r w:rsidR="00D3413A" w:rsidRPr="000A20DC">
              <w:rPr>
                <w:rFonts w:asciiTheme="minorHAnsi" w:eastAsiaTheme="minorHAnsi" w:hAnsiTheme="minorHAnsi" w:cstheme="minorHAnsi"/>
                <w:sz w:val="22"/>
                <w:szCs w:val="22"/>
                <w:lang w:eastAsia="en-US"/>
              </w:rPr>
              <w:t>July 2025.</w:t>
            </w:r>
            <w:r w:rsidRPr="000A20DC">
              <w:rPr>
                <w:rFonts w:asciiTheme="minorHAnsi" w:eastAsiaTheme="minorHAnsi" w:hAnsiTheme="minorHAnsi" w:cstheme="minorHAnsi"/>
                <w:sz w:val="22"/>
                <w:szCs w:val="22"/>
                <w:lang w:eastAsia="en-US"/>
              </w:rPr>
              <w:t xml:space="preserve"> </w:t>
            </w:r>
            <w:r w:rsidR="00096AA2">
              <w:rPr>
                <w:rFonts w:asciiTheme="minorHAnsi" w:eastAsiaTheme="minorHAnsi" w:hAnsiTheme="minorHAnsi" w:cstheme="minorHAnsi"/>
                <w:sz w:val="22"/>
                <w:szCs w:val="22"/>
                <w:lang w:eastAsia="en-US"/>
              </w:rPr>
              <w:t xml:space="preserve">The </w:t>
            </w:r>
            <w:hyperlink r:id="rId16" w:history="1">
              <w:r w:rsidR="00096AA2" w:rsidRPr="007F241B">
                <w:rPr>
                  <w:rStyle w:val="Hyperlink"/>
                  <w:rFonts w:asciiTheme="minorHAnsi" w:eastAsiaTheme="minorHAnsi" w:hAnsiTheme="minorHAnsi" w:cstheme="minorHAnsi"/>
                  <w:sz w:val="22"/>
                  <w:szCs w:val="22"/>
                  <w:lang w:eastAsia="en-US"/>
                </w:rPr>
                <w:t>utilisation analysis</w:t>
              </w:r>
            </w:hyperlink>
            <w:r w:rsidR="00096AA2">
              <w:rPr>
                <w:rFonts w:asciiTheme="minorHAnsi" w:eastAsiaTheme="minorHAnsi" w:hAnsiTheme="minorHAnsi" w:cstheme="minorHAnsi"/>
                <w:sz w:val="22"/>
                <w:szCs w:val="22"/>
                <w:lang w:eastAsia="en-US"/>
              </w:rPr>
              <w:t xml:space="preserve"> was </w:t>
            </w:r>
            <w:r w:rsidR="00096AA2" w:rsidRPr="000A20DC">
              <w:rPr>
                <w:rFonts w:asciiTheme="minorHAnsi" w:eastAsiaTheme="minorHAnsi" w:hAnsiTheme="minorHAnsi" w:cstheme="minorHAnsi"/>
                <w:sz w:val="22"/>
                <w:szCs w:val="22"/>
                <w:lang w:eastAsia="en-US"/>
              </w:rPr>
              <w:t>published</w:t>
            </w:r>
            <w:r w:rsidR="00096AA2">
              <w:rPr>
                <w:rFonts w:asciiTheme="minorHAnsi" w:eastAsiaTheme="minorHAnsi" w:hAnsiTheme="minorHAnsi" w:cstheme="minorHAnsi"/>
                <w:sz w:val="22"/>
                <w:szCs w:val="22"/>
                <w:lang w:eastAsia="en-US"/>
              </w:rPr>
              <w:t xml:space="preserve"> on 10 August 2026</w:t>
            </w:r>
            <w:r w:rsidR="00096AA2" w:rsidRPr="000A20DC">
              <w:rPr>
                <w:rFonts w:asciiTheme="minorHAnsi" w:eastAsiaTheme="minorHAnsi" w:hAnsiTheme="minorHAnsi" w:cstheme="minorHAnsi"/>
                <w:b/>
                <w:bCs/>
                <w:sz w:val="22"/>
                <w:szCs w:val="22"/>
                <w:lang w:eastAsia="en-US"/>
              </w:rPr>
              <w:t>.</w:t>
            </w:r>
          </w:p>
          <w:p w14:paraId="54C32E1C" w14:textId="77777777" w:rsidR="004E22B5" w:rsidRDefault="004E22B5" w:rsidP="00D3413A">
            <w:pPr>
              <w:rPr>
                <w:rFonts w:asciiTheme="minorHAnsi" w:eastAsiaTheme="minorHAnsi" w:hAnsiTheme="minorHAnsi" w:cstheme="minorHAnsi"/>
                <w:sz w:val="22"/>
                <w:szCs w:val="22"/>
                <w:lang w:eastAsia="en-US"/>
              </w:rPr>
            </w:pPr>
          </w:p>
          <w:p w14:paraId="45C037CE" w14:textId="77777777" w:rsidR="00D3413A" w:rsidRPr="000A20DC" w:rsidRDefault="00D3413A" w:rsidP="00A2609D">
            <w:pPr>
              <w:keepNext/>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Next Steps</w:t>
            </w:r>
          </w:p>
          <w:p w14:paraId="7A29B6D2" w14:textId="00F54F64" w:rsidR="00D3413A" w:rsidRPr="000A20DC" w:rsidRDefault="00096AA2" w:rsidP="00D3413A">
            <w:pPr>
              <w:rPr>
                <w:rFonts w:asciiTheme="minorHAnsi" w:eastAsiaTheme="minorHAnsi" w:hAnsiTheme="minorHAnsi" w:cstheme="minorHAnsi"/>
                <w:b/>
                <w:bCs/>
                <w:sz w:val="22"/>
                <w:szCs w:val="22"/>
                <w:lang w:eastAsia="en-US"/>
              </w:rPr>
            </w:pPr>
            <w:r>
              <w:rPr>
                <w:rFonts w:asciiTheme="minorHAnsi" w:eastAsiaTheme="minorHAnsi" w:hAnsiTheme="minorHAnsi" w:cstheme="minorHAnsi"/>
                <w:sz w:val="22"/>
                <w:szCs w:val="22"/>
                <w:lang w:eastAsia="en-US"/>
              </w:rPr>
              <w:t>P</w:t>
            </w:r>
            <w:r w:rsidR="00D3413A" w:rsidRPr="000A20DC">
              <w:rPr>
                <w:rFonts w:asciiTheme="minorHAnsi" w:eastAsiaTheme="minorHAnsi" w:hAnsiTheme="minorHAnsi" w:cstheme="minorHAnsi"/>
                <w:sz w:val="22"/>
                <w:szCs w:val="22"/>
                <w:lang w:eastAsia="en-US"/>
              </w:rPr>
              <w:t xml:space="preserve">roject complete. </w:t>
            </w:r>
          </w:p>
        </w:tc>
        <w:tc>
          <w:tcPr>
            <w:tcW w:w="2873" w:type="dxa"/>
            <w:tcBorders>
              <w:top w:val="single" w:sz="8" w:space="0" w:color="auto"/>
              <w:left w:val="single" w:sz="8" w:space="0" w:color="auto"/>
              <w:bottom w:val="single" w:sz="8" w:space="0" w:color="auto"/>
              <w:right w:val="single" w:sz="8" w:space="0" w:color="auto"/>
            </w:tcBorders>
            <w:hideMark/>
          </w:tcPr>
          <w:p w14:paraId="2D578017"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Alemtuzumab</w:t>
            </w:r>
          </w:p>
          <w:p w14:paraId="10D9B81E"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Natalizumab</w:t>
            </w:r>
          </w:p>
          <w:p w14:paraId="0B790E80"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Ocrelizumab</w:t>
            </w:r>
          </w:p>
          <w:p w14:paraId="3E2DEF6F"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Ozanimod</w:t>
            </w:r>
          </w:p>
          <w:p w14:paraId="0347523D"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Ofatumumab</w:t>
            </w:r>
          </w:p>
          <w:p w14:paraId="622AAAA0"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Fingolimod</w:t>
            </w:r>
          </w:p>
          <w:p w14:paraId="19E0AC5F"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Cladribine</w:t>
            </w:r>
          </w:p>
          <w:p w14:paraId="5B4186BC"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Siponimod</w:t>
            </w:r>
          </w:p>
          <w:p w14:paraId="7BDACC69"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Teriflunomide</w:t>
            </w:r>
          </w:p>
          <w:p w14:paraId="13E0CA7D"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Peginterferon beta 1a</w:t>
            </w:r>
          </w:p>
          <w:p w14:paraId="31C4D815"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Interferon beta 1b</w:t>
            </w:r>
          </w:p>
          <w:p w14:paraId="67A259B8"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Glatiramer acetate</w:t>
            </w:r>
          </w:p>
          <w:p w14:paraId="5A58DB9B"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Dimethyl fumarate</w:t>
            </w:r>
          </w:p>
          <w:p w14:paraId="1DEDBB80"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Diroximel fumarate</w:t>
            </w:r>
          </w:p>
        </w:tc>
      </w:tr>
      <w:tr w:rsidR="00096AA2" w:rsidRPr="000A20DC" w14:paraId="3898EE87" w14:textId="77777777" w:rsidTr="61D5D7E7">
        <w:trPr>
          <w:trHeight w:val="300"/>
        </w:trPr>
        <w:tc>
          <w:tcPr>
            <w:tcW w:w="2542" w:type="dxa"/>
            <w:tcBorders>
              <w:top w:val="single" w:sz="8" w:space="0" w:color="auto"/>
              <w:left w:val="single" w:sz="8" w:space="0" w:color="auto"/>
              <w:bottom w:val="single" w:sz="8" w:space="0" w:color="auto"/>
              <w:right w:val="single" w:sz="8" w:space="0" w:color="auto"/>
            </w:tcBorders>
          </w:tcPr>
          <w:p w14:paraId="05181D24" w14:textId="6B46DFBD" w:rsidR="00096AA2" w:rsidRPr="000A20DC" w:rsidRDefault="00096AA2"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Relapsing-remitting multiple sclerosis</w:t>
            </w:r>
          </w:p>
        </w:tc>
        <w:tc>
          <w:tcPr>
            <w:tcW w:w="8745" w:type="dxa"/>
            <w:tcBorders>
              <w:top w:val="single" w:sz="8" w:space="0" w:color="auto"/>
              <w:left w:val="single" w:sz="8" w:space="0" w:color="auto"/>
              <w:bottom w:val="single" w:sz="8" w:space="0" w:color="auto"/>
              <w:right w:val="single" w:sz="8" w:space="0" w:color="auto"/>
            </w:tcBorders>
          </w:tcPr>
          <w:p w14:paraId="743D21EF" w14:textId="50E0D939" w:rsidR="00096AA2" w:rsidRPr="000A20DC" w:rsidRDefault="00096AA2" w:rsidP="00096AA2">
            <w:pPr>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 xml:space="preserve">Rapid review of </w:t>
            </w:r>
            <w:r w:rsidRPr="000A20DC">
              <w:rPr>
                <w:rFonts w:asciiTheme="minorHAnsi" w:eastAsiaTheme="minorHAnsi" w:hAnsiTheme="minorHAnsi" w:cstheme="minorHAnsi"/>
                <w:b/>
                <w:bCs/>
                <w:sz w:val="22"/>
                <w:szCs w:val="22"/>
                <w:lang w:eastAsia="en-US"/>
              </w:rPr>
              <w:t>PBS</w:t>
            </w:r>
            <w:r w:rsidR="00DA7C37">
              <w:rPr>
                <w:rFonts w:asciiTheme="minorHAnsi" w:eastAsiaTheme="minorHAnsi" w:hAnsiTheme="minorHAnsi" w:cstheme="minorHAnsi"/>
                <w:b/>
                <w:bCs/>
                <w:sz w:val="22"/>
                <w:szCs w:val="22"/>
                <w:lang w:eastAsia="en-US"/>
              </w:rPr>
              <w:t xml:space="preserve"> medicines for </w:t>
            </w:r>
            <w:r w:rsidRPr="000A20DC">
              <w:rPr>
                <w:rFonts w:asciiTheme="minorHAnsi" w:eastAsiaTheme="minorHAnsi" w:hAnsiTheme="minorHAnsi" w:cstheme="minorHAnsi"/>
                <w:b/>
                <w:bCs/>
                <w:sz w:val="22"/>
                <w:szCs w:val="22"/>
                <w:lang w:eastAsia="en-US"/>
              </w:rPr>
              <w:t>relapsing-remitting multiple sclerosis (RRMS)</w:t>
            </w:r>
          </w:p>
          <w:p w14:paraId="684BB60C" w14:textId="77777777" w:rsidR="00096AA2" w:rsidRPr="000A20DC" w:rsidRDefault="00096AA2" w:rsidP="00096AA2">
            <w:pPr>
              <w:rPr>
                <w:rFonts w:asciiTheme="minorHAnsi" w:eastAsiaTheme="minorHAnsi" w:hAnsiTheme="minorHAnsi" w:cstheme="minorHAnsi"/>
                <w:b/>
                <w:bCs/>
                <w:sz w:val="22"/>
                <w:szCs w:val="22"/>
                <w:lang w:eastAsia="en-US"/>
              </w:rPr>
            </w:pPr>
          </w:p>
          <w:p w14:paraId="3B93DDAD" w14:textId="77777777" w:rsidR="00096AA2" w:rsidRPr="000A20DC" w:rsidRDefault="00096AA2" w:rsidP="00096AA2">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Background</w:t>
            </w:r>
          </w:p>
          <w:p w14:paraId="6FA3B61B" w14:textId="667381BF" w:rsidR="00DA7C37" w:rsidRPr="00DA7C37" w:rsidRDefault="00096AA2" w:rsidP="00DA7C37">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In</w:t>
            </w:r>
            <w:r w:rsidR="00DA7C37">
              <w:rPr>
                <w:rFonts w:asciiTheme="minorHAnsi" w:eastAsiaTheme="minorHAnsi" w:hAnsiTheme="minorHAnsi" w:cstheme="minorHAnsi"/>
                <w:sz w:val="22"/>
                <w:szCs w:val="22"/>
                <w:lang w:eastAsia="en-US"/>
              </w:rPr>
              <w:t xml:space="preserve"> July 2026</w:t>
            </w:r>
            <w:r w:rsidRPr="000A20DC">
              <w:rPr>
                <w:rFonts w:asciiTheme="minorHAnsi" w:eastAsiaTheme="minorHAnsi" w:hAnsiTheme="minorHAnsi" w:cstheme="minorHAnsi"/>
                <w:sz w:val="22"/>
                <w:szCs w:val="22"/>
                <w:lang w:eastAsia="en-US"/>
              </w:rPr>
              <w:t>, the PBAC</w:t>
            </w:r>
            <w:r w:rsidR="00DA7C37">
              <w:rPr>
                <w:rFonts w:asciiTheme="minorHAnsi" w:eastAsiaTheme="minorHAnsi" w:hAnsiTheme="minorHAnsi" w:cstheme="minorHAnsi"/>
                <w:sz w:val="22"/>
                <w:szCs w:val="22"/>
                <w:lang w:eastAsia="en-US"/>
              </w:rPr>
              <w:t xml:space="preserve"> requested that the Department undertake a rapid review of medicines listed on the PBS for the treatment of RRMS</w:t>
            </w:r>
            <w:r w:rsidRPr="000A20DC">
              <w:rPr>
                <w:rFonts w:asciiTheme="minorHAnsi" w:eastAsiaTheme="minorHAnsi" w:hAnsiTheme="minorHAnsi" w:cstheme="minorHAnsi"/>
                <w:sz w:val="22"/>
                <w:szCs w:val="22"/>
                <w:lang w:eastAsia="en-US"/>
              </w:rPr>
              <w:t>.</w:t>
            </w:r>
            <w:r w:rsidR="00DA7C37">
              <w:rPr>
                <w:rFonts w:asciiTheme="minorHAnsi" w:eastAsiaTheme="minorHAnsi" w:hAnsiTheme="minorHAnsi" w:cstheme="minorHAnsi"/>
                <w:sz w:val="22"/>
                <w:szCs w:val="22"/>
                <w:lang w:eastAsia="en-US"/>
              </w:rPr>
              <w:t xml:space="preserve"> </w:t>
            </w:r>
            <w:r w:rsidR="00DA7C37" w:rsidRPr="00DA7C37">
              <w:rPr>
                <w:rFonts w:asciiTheme="minorHAnsi" w:eastAsiaTheme="minorHAnsi" w:hAnsiTheme="minorHAnsi" w:cstheme="minorHAnsi"/>
                <w:sz w:val="22"/>
                <w:szCs w:val="22"/>
                <w:lang w:eastAsia="en-US"/>
              </w:rPr>
              <w:t xml:space="preserve">The </w:t>
            </w:r>
            <w:r w:rsidR="00DA7C37">
              <w:rPr>
                <w:rFonts w:asciiTheme="minorHAnsi" w:eastAsiaTheme="minorHAnsi" w:hAnsiTheme="minorHAnsi" w:cstheme="minorHAnsi"/>
                <w:sz w:val="22"/>
                <w:szCs w:val="22"/>
                <w:lang w:eastAsia="en-US"/>
              </w:rPr>
              <w:t xml:space="preserve">review aims to assist the </w:t>
            </w:r>
            <w:r w:rsidR="00DA7C37" w:rsidRPr="00DA7C37">
              <w:rPr>
                <w:rFonts w:asciiTheme="minorHAnsi" w:eastAsiaTheme="minorHAnsi" w:hAnsiTheme="minorHAnsi" w:cstheme="minorHAnsi"/>
                <w:sz w:val="22"/>
                <w:szCs w:val="22"/>
                <w:lang w:eastAsia="en-US"/>
              </w:rPr>
              <w:t xml:space="preserve">PBAC </w:t>
            </w:r>
            <w:r w:rsidR="00DA7C37">
              <w:rPr>
                <w:rFonts w:asciiTheme="minorHAnsi" w:eastAsiaTheme="minorHAnsi" w:hAnsiTheme="minorHAnsi" w:cstheme="minorHAnsi"/>
                <w:sz w:val="22"/>
                <w:szCs w:val="22"/>
                <w:lang w:eastAsia="en-US"/>
              </w:rPr>
              <w:t xml:space="preserve">in providing advice on how to </w:t>
            </w:r>
            <w:r w:rsidR="00DA7C37" w:rsidRPr="00DA7C37">
              <w:rPr>
                <w:rFonts w:asciiTheme="minorHAnsi" w:eastAsiaTheme="minorHAnsi" w:hAnsiTheme="minorHAnsi" w:cstheme="minorHAnsi"/>
                <w:sz w:val="22"/>
                <w:szCs w:val="22"/>
                <w:lang w:eastAsia="en-US"/>
              </w:rPr>
              <w:t>address the pricing differences</w:t>
            </w:r>
            <w:r w:rsidR="00DA7C37">
              <w:rPr>
                <w:rFonts w:asciiTheme="minorHAnsi" w:eastAsiaTheme="minorHAnsi" w:hAnsiTheme="minorHAnsi" w:cstheme="minorHAnsi"/>
                <w:sz w:val="22"/>
                <w:szCs w:val="22"/>
                <w:lang w:eastAsia="en-US"/>
              </w:rPr>
              <w:t xml:space="preserve"> between RRMS medicines</w:t>
            </w:r>
            <w:r w:rsidR="00DA7C37" w:rsidRPr="00DA7C37">
              <w:rPr>
                <w:rFonts w:asciiTheme="minorHAnsi" w:eastAsiaTheme="minorHAnsi" w:hAnsiTheme="minorHAnsi" w:cstheme="minorHAnsi"/>
                <w:sz w:val="22"/>
                <w:szCs w:val="22"/>
                <w:lang w:eastAsia="en-US"/>
              </w:rPr>
              <w:t xml:space="preserve"> while ensuring access to subsidised treatments remains patient-centred and clinically appropriate. The review will investigate: </w:t>
            </w:r>
          </w:p>
          <w:p w14:paraId="768E2716" w14:textId="697AD86B" w:rsidR="00DA7C37" w:rsidRPr="00A2609D" w:rsidRDefault="00DA7C37" w:rsidP="00A2609D">
            <w:pPr>
              <w:pStyle w:val="ListParagraph"/>
              <w:numPr>
                <w:ilvl w:val="0"/>
                <w:numId w:val="43"/>
              </w:numPr>
              <w:ind w:left="357" w:hanging="357"/>
              <w:rPr>
                <w:rFonts w:asciiTheme="minorHAnsi" w:eastAsiaTheme="minorHAnsi" w:hAnsiTheme="minorHAnsi" w:cstheme="minorHAnsi"/>
                <w:sz w:val="22"/>
                <w:szCs w:val="22"/>
                <w:lang w:eastAsia="en-US"/>
              </w:rPr>
            </w:pPr>
            <w:r w:rsidRPr="00A2609D">
              <w:rPr>
                <w:rFonts w:asciiTheme="minorHAnsi" w:eastAsiaTheme="minorHAnsi" w:hAnsiTheme="minorHAnsi" w:cstheme="minorHAnsi"/>
                <w:sz w:val="22"/>
                <w:szCs w:val="22"/>
                <w:lang w:eastAsia="en-US"/>
              </w:rPr>
              <w:t>how RRMS treatments are being used on the PBS</w:t>
            </w:r>
          </w:p>
          <w:p w14:paraId="467E6BCE" w14:textId="70B5CAE1" w:rsidR="00DA7C37" w:rsidRPr="00A2609D" w:rsidRDefault="00DA7C37" w:rsidP="00A2609D">
            <w:pPr>
              <w:pStyle w:val="ListParagraph"/>
              <w:numPr>
                <w:ilvl w:val="0"/>
                <w:numId w:val="43"/>
              </w:numPr>
              <w:ind w:left="357" w:hanging="357"/>
              <w:rPr>
                <w:rFonts w:asciiTheme="minorHAnsi" w:eastAsiaTheme="minorHAnsi" w:hAnsiTheme="minorHAnsi" w:cstheme="minorHAnsi"/>
                <w:sz w:val="22"/>
                <w:szCs w:val="22"/>
                <w:lang w:eastAsia="en-US"/>
              </w:rPr>
            </w:pPr>
            <w:r w:rsidRPr="00A2609D">
              <w:rPr>
                <w:rFonts w:asciiTheme="minorHAnsi" w:eastAsiaTheme="minorHAnsi" w:hAnsiTheme="minorHAnsi" w:cstheme="minorHAnsi"/>
                <w:sz w:val="22"/>
                <w:szCs w:val="22"/>
                <w:lang w:eastAsia="en-US"/>
              </w:rPr>
              <w:t>if there is clinical evidence that the PBAC has not considered on how these medicines compare to each other</w:t>
            </w:r>
          </w:p>
          <w:p w14:paraId="32ABFE3B" w14:textId="3FCDC722" w:rsidR="00096AA2" w:rsidRPr="00A2609D" w:rsidRDefault="00DA7C37" w:rsidP="00A2609D">
            <w:pPr>
              <w:pStyle w:val="ListParagraph"/>
              <w:numPr>
                <w:ilvl w:val="0"/>
                <w:numId w:val="43"/>
              </w:numPr>
              <w:ind w:left="357" w:hanging="357"/>
              <w:rPr>
                <w:rFonts w:asciiTheme="minorHAnsi" w:eastAsiaTheme="minorHAnsi" w:hAnsiTheme="minorHAnsi" w:cstheme="minorHAnsi"/>
                <w:sz w:val="22"/>
                <w:szCs w:val="22"/>
                <w:lang w:eastAsia="en-US"/>
              </w:rPr>
            </w:pPr>
            <w:r w:rsidRPr="00A2609D">
              <w:rPr>
                <w:rFonts w:asciiTheme="minorHAnsi" w:eastAsiaTheme="minorHAnsi" w:hAnsiTheme="minorHAnsi" w:cstheme="minorHAnsi"/>
                <w:sz w:val="22"/>
                <w:szCs w:val="22"/>
                <w:lang w:eastAsia="en-US"/>
              </w:rPr>
              <w:t>if current PBS listings remain contemporary with clinical guidelines and practice.</w:t>
            </w:r>
          </w:p>
          <w:p w14:paraId="0B44E2BF" w14:textId="77777777" w:rsidR="00096AA2" w:rsidRPr="000A20DC" w:rsidRDefault="00096AA2" w:rsidP="00096AA2">
            <w:pPr>
              <w:rPr>
                <w:rFonts w:asciiTheme="minorHAnsi" w:eastAsiaTheme="minorHAnsi" w:hAnsiTheme="minorHAnsi" w:cstheme="minorHAnsi"/>
                <w:b/>
                <w:bCs/>
                <w:sz w:val="22"/>
                <w:szCs w:val="22"/>
                <w:lang w:eastAsia="en-US"/>
              </w:rPr>
            </w:pPr>
          </w:p>
          <w:p w14:paraId="6CBB6D89" w14:textId="77777777" w:rsidR="00096AA2" w:rsidRPr="000A20DC" w:rsidRDefault="00096AA2" w:rsidP="00096AA2">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045F1C6E" w14:textId="758992FD" w:rsidR="00DA7C37" w:rsidRDefault="00DA7C37" w:rsidP="00096AA2">
            <w:p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For further information on the status of this research project, including scope, process, indicative timelines, and opportunities for consultation, please refer to the </w:t>
            </w:r>
            <w:hyperlink r:id="rId17" w:history="1">
              <w:r w:rsidRPr="007F241B">
                <w:rPr>
                  <w:rStyle w:val="Hyperlink"/>
                  <w:rFonts w:asciiTheme="minorHAnsi" w:eastAsiaTheme="minorHAnsi" w:hAnsiTheme="minorHAnsi" w:cstheme="minorHAnsi"/>
                  <w:sz w:val="22"/>
                  <w:szCs w:val="22"/>
                  <w:lang w:eastAsia="en-US"/>
                </w:rPr>
                <w:t>Rapid review of PBS medicines for RRMS</w:t>
              </w:r>
            </w:hyperlink>
            <w:r>
              <w:rPr>
                <w:rFonts w:asciiTheme="minorHAnsi" w:eastAsiaTheme="minorHAnsi" w:hAnsiTheme="minorHAnsi" w:cstheme="minorHAnsi"/>
                <w:sz w:val="22"/>
                <w:szCs w:val="22"/>
                <w:lang w:eastAsia="en-US"/>
              </w:rPr>
              <w:t xml:space="preserve"> website. Public consultation </w:t>
            </w:r>
            <w:r w:rsidR="00E31493">
              <w:rPr>
                <w:rFonts w:asciiTheme="minorHAnsi" w:eastAsiaTheme="minorHAnsi" w:hAnsiTheme="minorHAnsi" w:cstheme="minorHAnsi"/>
                <w:sz w:val="22"/>
                <w:szCs w:val="22"/>
                <w:lang w:eastAsia="en-US"/>
              </w:rPr>
              <w:t xml:space="preserve">will be open from mid-August 2026, for six weeks. Consumers, health professionals, and other interested stakeholders are invited to provide comment on the review’s research questions via the </w:t>
            </w:r>
            <w:hyperlink r:id="rId18" w:history="1">
              <w:r w:rsidR="00E31493" w:rsidRPr="00E31493">
                <w:rPr>
                  <w:rStyle w:val="Hyperlink"/>
                  <w:rFonts w:asciiTheme="minorHAnsi" w:eastAsiaTheme="minorHAnsi" w:hAnsiTheme="minorHAnsi" w:cstheme="minorHAnsi"/>
                  <w:sz w:val="22"/>
                  <w:szCs w:val="22"/>
                  <w:lang w:eastAsia="en-US"/>
                </w:rPr>
                <w:t>Department’s Consultation Hub</w:t>
              </w:r>
            </w:hyperlink>
            <w:r w:rsidR="00E31493">
              <w:rPr>
                <w:rFonts w:asciiTheme="minorHAnsi" w:eastAsiaTheme="minorHAnsi" w:hAnsiTheme="minorHAnsi" w:cstheme="minorHAnsi"/>
                <w:sz w:val="22"/>
                <w:szCs w:val="22"/>
                <w:lang w:eastAsia="en-US"/>
              </w:rPr>
              <w:t xml:space="preserve">. </w:t>
            </w:r>
          </w:p>
          <w:p w14:paraId="3A35F648" w14:textId="77777777" w:rsidR="00096AA2" w:rsidRPr="000A20DC" w:rsidRDefault="00096AA2" w:rsidP="00096AA2">
            <w:pPr>
              <w:rPr>
                <w:rFonts w:asciiTheme="minorHAnsi" w:eastAsiaTheme="minorHAnsi" w:hAnsiTheme="minorHAnsi" w:cstheme="minorHAnsi"/>
                <w:sz w:val="22"/>
                <w:szCs w:val="22"/>
                <w:lang w:eastAsia="en-US"/>
              </w:rPr>
            </w:pPr>
          </w:p>
          <w:p w14:paraId="4335FDB9" w14:textId="7CBFF209" w:rsidR="00096AA2" w:rsidRPr="000A20DC" w:rsidRDefault="00096AA2" w:rsidP="00096AA2">
            <w:pPr>
              <w:keepNext/>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Next Steps</w:t>
            </w:r>
          </w:p>
          <w:p w14:paraId="330D09EC" w14:textId="6C0BCA20" w:rsidR="00096AA2" w:rsidRDefault="00E31493" w:rsidP="00E31493">
            <w:pPr>
              <w:pStyle w:val="ListParagraph"/>
              <w:numPr>
                <w:ilvl w:val="0"/>
                <w:numId w:val="44"/>
              </w:numPr>
              <w:ind w:left="357" w:hanging="357"/>
              <w:rPr>
                <w:rFonts w:asciiTheme="minorHAnsi" w:eastAsiaTheme="minorHAnsi" w:hAnsiTheme="minorHAnsi" w:cstheme="minorHAnsi"/>
                <w:sz w:val="22"/>
                <w:szCs w:val="22"/>
                <w:lang w:eastAsia="en-US"/>
              </w:rPr>
            </w:pPr>
            <w:r w:rsidRPr="00A2609D">
              <w:rPr>
                <w:rFonts w:asciiTheme="minorHAnsi" w:eastAsiaTheme="minorHAnsi" w:hAnsiTheme="minorHAnsi" w:cstheme="minorHAnsi"/>
                <w:sz w:val="22"/>
                <w:szCs w:val="22"/>
                <w:lang w:eastAsia="en-US"/>
              </w:rPr>
              <w:t>PBAC Stakeholder Meeting</w:t>
            </w:r>
            <w:r>
              <w:rPr>
                <w:rFonts w:asciiTheme="minorHAnsi" w:eastAsiaTheme="minorHAnsi" w:hAnsiTheme="minorHAnsi" w:cstheme="minorHAnsi"/>
                <w:sz w:val="22"/>
                <w:szCs w:val="22"/>
                <w:lang w:eastAsia="en-US"/>
              </w:rPr>
              <w:t xml:space="preserve"> (invited key stakeholders)</w:t>
            </w:r>
            <w:r w:rsidRPr="00A2609D">
              <w:rPr>
                <w:rFonts w:asciiTheme="minorHAnsi" w:eastAsiaTheme="minorHAnsi" w:hAnsiTheme="minorHAnsi" w:cstheme="minorHAnsi"/>
                <w:sz w:val="22"/>
                <w:szCs w:val="22"/>
                <w:lang w:eastAsia="en-US"/>
              </w:rPr>
              <w:t xml:space="preserve"> – Aug 2026</w:t>
            </w:r>
            <w:r>
              <w:rPr>
                <w:rFonts w:asciiTheme="minorHAnsi" w:eastAsiaTheme="minorHAnsi" w:hAnsiTheme="minorHAnsi" w:cstheme="minorHAnsi"/>
                <w:sz w:val="22"/>
                <w:szCs w:val="22"/>
                <w:lang w:eastAsia="en-US"/>
              </w:rPr>
              <w:t xml:space="preserve"> </w:t>
            </w:r>
          </w:p>
          <w:p w14:paraId="50020F43" w14:textId="64E26241" w:rsidR="00E31493" w:rsidRDefault="00E31493" w:rsidP="00E31493">
            <w:pPr>
              <w:pStyle w:val="ListParagraph"/>
              <w:numPr>
                <w:ilvl w:val="0"/>
                <w:numId w:val="44"/>
              </w:numPr>
              <w:ind w:left="357"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Public consultation – mid-Aug to Sept 2026</w:t>
            </w:r>
          </w:p>
          <w:p w14:paraId="521C6EB6" w14:textId="2DA18B2E" w:rsidR="00E31493" w:rsidRDefault="00E31493" w:rsidP="00E31493">
            <w:pPr>
              <w:pStyle w:val="ListParagraph"/>
              <w:numPr>
                <w:ilvl w:val="0"/>
                <w:numId w:val="44"/>
              </w:numPr>
              <w:ind w:left="357"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Contract a Health Technology Assessment group to undertake an evidence review</w:t>
            </w:r>
          </w:p>
          <w:p w14:paraId="7936544C" w14:textId="77777777" w:rsidR="00E31493" w:rsidRDefault="00E31493" w:rsidP="00E31493">
            <w:pPr>
              <w:pStyle w:val="ListParagraph"/>
              <w:numPr>
                <w:ilvl w:val="0"/>
                <w:numId w:val="44"/>
              </w:numPr>
              <w:ind w:left="357"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Update the utilisation analysis of RRMS medicines (see above)</w:t>
            </w:r>
          </w:p>
          <w:p w14:paraId="4E7FC5BB" w14:textId="77777777" w:rsidR="00E31493" w:rsidRDefault="00E31493" w:rsidP="00E31493">
            <w:pPr>
              <w:pStyle w:val="ListParagraph"/>
              <w:numPr>
                <w:ilvl w:val="0"/>
                <w:numId w:val="44"/>
              </w:numPr>
              <w:ind w:left="357"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Pre-PBAC consultation on draft report (invited key stakeholders) – 25 Nov to 2 Dec 2026</w:t>
            </w:r>
          </w:p>
          <w:p w14:paraId="41C4CA12" w14:textId="4646EB98" w:rsidR="00E31493" w:rsidRDefault="00E31493" w:rsidP="00E31493">
            <w:pPr>
              <w:pStyle w:val="ListParagraph"/>
              <w:numPr>
                <w:ilvl w:val="0"/>
                <w:numId w:val="44"/>
              </w:numPr>
              <w:ind w:left="357"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PBAC consideration – 9 Dec 2026</w:t>
            </w:r>
          </w:p>
          <w:p w14:paraId="79C4CB02" w14:textId="704A0FA7" w:rsidR="00E31493" w:rsidRDefault="00E31493" w:rsidP="00E31493">
            <w:pPr>
              <w:pStyle w:val="ListParagraph"/>
              <w:numPr>
                <w:ilvl w:val="0"/>
                <w:numId w:val="44"/>
              </w:numPr>
              <w:ind w:left="357"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PBAC Minutes provided in-confidence to key stakeholders – 22 Jan 2027</w:t>
            </w:r>
          </w:p>
          <w:p w14:paraId="4289AA4D" w14:textId="1A6971EA" w:rsidR="00E31493" w:rsidRDefault="00E31493" w:rsidP="00E31493">
            <w:pPr>
              <w:pStyle w:val="ListParagraph"/>
              <w:numPr>
                <w:ilvl w:val="0"/>
                <w:numId w:val="44"/>
              </w:numPr>
              <w:ind w:left="357"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PBAC outcomes published – 29 Jan 202</w:t>
            </w:r>
            <w:r w:rsidR="00682A42">
              <w:rPr>
                <w:rFonts w:asciiTheme="minorHAnsi" w:eastAsiaTheme="minorHAnsi" w:hAnsiTheme="minorHAnsi" w:cstheme="minorHAnsi"/>
                <w:sz w:val="22"/>
                <w:szCs w:val="22"/>
                <w:lang w:eastAsia="en-US"/>
              </w:rPr>
              <w:t>7</w:t>
            </w:r>
          </w:p>
          <w:p w14:paraId="76D1EE53" w14:textId="77777777" w:rsidR="00CB5468" w:rsidRDefault="00CB5468" w:rsidP="00E31493">
            <w:pPr>
              <w:pStyle w:val="ListParagraph"/>
              <w:numPr>
                <w:ilvl w:val="0"/>
                <w:numId w:val="44"/>
              </w:numPr>
              <w:ind w:left="357"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PBAC Minutes published – 23 April 2027</w:t>
            </w:r>
          </w:p>
          <w:p w14:paraId="73BF7648" w14:textId="77777777" w:rsidR="00CB5468" w:rsidRDefault="00CB5468" w:rsidP="00CB5468">
            <w:p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Note: Timelines are indicative.</w:t>
            </w:r>
          </w:p>
          <w:p w14:paraId="02046749" w14:textId="77777777" w:rsidR="004E22B5" w:rsidRDefault="004E22B5" w:rsidP="00CB5468">
            <w:pPr>
              <w:rPr>
                <w:rFonts w:asciiTheme="minorHAnsi" w:eastAsiaTheme="minorHAnsi" w:hAnsiTheme="minorHAnsi" w:cstheme="minorHAnsi"/>
                <w:sz w:val="22"/>
                <w:szCs w:val="22"/>
                <w:lang w:eastAsia="en-US"/>
              </w:rPr>
            </w:pPr>
          </w:p>
          <w:p w14:paraId="0922AD19" w14:textId="3C866D46" w:rsidR="004E22B5" w:rsidRPr="00A2609D" w:rsidRDefault="004E22B5" w:rsidP="00CB5468">
            <w:pPr>
              <w:rPr>
                <w:rFonts w:asciiTheme="minorHAnsi" w:eastAsiaTheme="minorHAnsi" w:hAnsiTheme="minorHAnsi" w:cstheme="minorHAnsi"/>
                <w:sz w:val="22"/>
                <w:szCs w:val="22"/>
                <w:lang w:eastAsia="en-US"/>
              </w:rPr>
            </w:pPr>
          </w:p>
        </w:tc>
        <w:tc>
          <w:tcPr>
            <w:tcW w:w="2873" w:type="dxa"/>
            <w:tcBorders>
              <w:top w:val="single" w:sz="8" w:space="0" w:color="auto"/>
              <w:left w:val="single" w:sz="8" w:space="0" w:color="auto"/>
              <w:bottom w:val="single" w:sz="8" w:space="0" w:color="auto"/>
              <w:right w:val="single" w:sz="8" w:space="0" w:color="auto"/>
            </w:tcBorders>
          </w:tcPr>
          <w:p w14:paraId="07509096"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Alemtuzumab</w:t>
            </w:r>
          </w:p>
          <w:p w14:paraId="38C77161"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Natalizumab</w:t>
            </w:r>
          </w:p>
          <w:p w14:paraId="56557A7E"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Ocrelizumab</w:t>
            </w:r>
          </w:p>
          <w:p w14:paraId="28490EF7"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Ozanimod</w:t>
            </w:r>
          </w:p>
          <w:p w14:paraId="15CFCF62"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Ofatumumab</w:t>
            </w:r>
          </w:p>
          <w:p w14:paraId="6053982C"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Fingolimod</w:t>
            </w:r>
          </w:p>
          <w:p w14:paraId="0201CB52"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Cladribine</w:t>
            </w:r>
          </w:p>
          <w:p w14:paraId="19E1BB85"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Siponimod</w:t>
            </w:r>
          </w:p>
          <w:p w14:paraId="03E38FAD"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Teriflunomide</w:t>
            </w:r>
          </w:p>
          <w:p w14:paraId="4C0B865C"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Peginterferon beta 1a</w:t>
            </w:r>
          </w:p>
          <w:p w14:paraId="712E5F32"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Interferon beta 1b</w:t>
            </w:r>
          </w:p>
          <w:p w14:paraId="1B06F0F6"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Glatiramer acetate</w:t>
            </w:r>
          </w:p>
          <w:p w14:paraId="7456C124" w14:textId="77777777" w:rsidR="00096AA2" w:rsidRPr="000A20DC"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Dimethyl fumarate</w:t>
            </w:r>
          </w:p>
          <w:p w14:paraId="5995E057" w14:textId="77777777" w:rsidR="00096AA2" w:rsidRDefault="00096AA2" w:rsidP="00096AA2">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Diroximel fumarate</w:t>
            </w:r>
          </w:p>
          <w:p w14:paraId="12574258" w14:textId="149CB7A1" w:rsidR="00096AA2" w:rsidRPr="000A20DC" w:rsidRDefault="00096AA2" w:rsidP="00096AA2">
            <w:pPr>
              <w:numPr>
                <w:ilvl w:val="0"/>
                <w:numId w:val="25"/>
              </w:num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Rituximab</w:t>
            </w:r>
          </w:p>
        </w:tc>
      </w:tr>
      <w:tr w:rsidR="00D3413A" w:rsidRPr="000A20DC" w14:paraId="686BAE7A" w14:textId="77777777" w:rsidTr="00A2609D">
        <w:trPr>
          <w:trHeight w:val="300"/>
        </w:trPr>
        <w:tc>
          <w:tcPr>
            <w:tcW w:w="2542" w:type="dxa"/>
            <w:tcBorders>
              <w:top w:val="single" w:sz="8" w:space="0" w:color="auto"/>
              <w:left w:val="single" w:sz="8" w:space="0" w:color="auto"/>
              <w:bottom w:val="single" w:sz="8" w:space="0" w:color="auto"/>
              <w:right w:val="single" w:sz="8" w:space="0" w:color="auto"/>
            </w:tcBorders>
            <w:hideMark/>
          </w:tcPr>
          <w:p w14:paraId="3D9B222D"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Various</w:t>
            </w:r>
          </w:p>
        </w:tc>
        <w:tc>
          <w:tcPr>
            <w:tcW w:w="8745" w:type="dxa"/>
            <w:tcBorders>
              <w:top w:val="single" w:sz="8" w:space="0" w:color="auto"/>
              <w:left w:val="single" w:sz="8" w:space="0" w:color="auto"/>
              <w:bottom w:val="single" w:sz="8" w:space="0" w:color="auto"/>
              <w:right w:val="single" w:sz="8" w:space="0" w:color="auto"/>
            </w:tcBorders>
            <w:hideMark/>
          </w:tcPr>
          <w:p w14:paraId="037AED3F" w14:textId="77777777" w:rsidR="00D3413A" w:rsidRPr="000A20DC" w:rsidRDefault="00D3413A" w:rsidP="00D3413A">
            <w:pPr>
              <w:rPr>
                <w:rFonts w:asciiTheme="minorHAnsi" w:eastAsiaTheme="minorHAnsi" w:hAnsiTheme="minorHAnsi" w:cstheme="minorHAnsi"/>
                <w:b/>
                <w:bCs/>
                <w:sz w:val="22"/>
                <w:szCs w:val="22"/>
                <w:lang w:eastAsia="en-US"/>
              </w:rPr>
            </w:pPr>
            <w:bookmarkStart w:id="0" w:name="_Hlk179881954"/>
            <w:r w:rsidRPr="000A20DC">
              <w:rPr>
                <w:rFonts w:asciiTheme="minorHAnsi" w:eastAsiaTheme="minorHAnsi" w:hAnsiTheme="minorHAnsi" w:cstheme="minorHAnsi"/>
                <w:b/>
                <w:bCs/>
                <w:sz w:val="22"/>
                <w:szCs w:val="22"/>
                <w:lang w:eastAsia="en-US"/>
              </w:rPr>
              <w:t>Review of PBS restrictions for low-cost medicines</w:t>
            </w:r>
            <w:bookmarkEnd w:id="0"/>
          </w:p>
          <w:p w14:paraId="584B9782" w14:textId="77777777" w:rsidR="004C1521" w:rsidRPr="000A20DC" w:rsidRDefault="004C1521" w:rsidP="00D3413A">
            <w:pPr>
              <w:rPr>
                <w:rFonts w:asciiTheme="minorHAnsi" w:eastAsiaTheme="minorHAnsi" w:hAnsiTheme="minorHAnsi" w:cstheme="minorHAnsi"/>
                <w:b/>
                <w:bCs/>
                <w:sz w:val="22"/>
                <w:szCs w:val="22"/>
                <w:lang w:eastAsia="en-US"/>
              </w:rPr>
            </w:pPr>
          </w:p>
          <w:p w14:paraId="1DEC35A6"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Background</w:t>
            </w:r>
          </w:p>
          <w:p w14:paraId="09D2D7C8"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In September 2023, as part of its consideration of the PMR workplan, the PBAC supported a proposal that the Department would consider on a rolling basis whether medicines that have moved to the F2 formulary would be suitable for a restriction review. The PBAC noted that this work may support the TGA’s Medicines Repurposing Program (MRP).</w:t>
            </w:r>
          </w:p>
          <w:p w14:paraId="328D0DA8" w14:textId="77777777" w:rsidR="004C1521" w:rsidRPr="000A20DC" w:rsidRDefault="004C1521" w:rsidP="00D3413A">
            <w:pPr>
              <w:rPr>
                <w:rFonts w:asciiTheme="minorHAnsi" w:eastAsiaTheme="minorHAnsi" w:hAnsiTheme="minorHAnsi" w:cstheme="minorHAnsi"/>
                <w:sz w:val="22"/>
                <w:szCs w:val="22"/>
                <w:lang w:eastAsia="en-US"/>
              </w:rPr>
            </w:pPr>
          </w:p>
          <w:p w14:paraId="78ACC927"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17ADD189"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At its September 2024 meeting, the PBAC supported the Department’s proposal to provide further information to inform its consideration of whether an unrestricted benefit PBS listing is appropriate for several PBS-listed antidepressants. The PBAC noted that for some Restricted Benefit listings, the TGA-approved indications are broader than the PBS-listed indications. In addition, Australian clinical guidelines recommend a wider range of uses beyond the PBS-listed and/or TGA-approved indication(s). The PBAC considered that because of the low cost of these medicines, there may be little incentive for sponsors to bring forward a TGA application or PBAC submission to change the indication or restriction.</w:t>
            </w:r>
          </w:p>
          <w:p w14:paraId="03FD5DFB" w14:textId="77777777" w:rsidR="004C1521" w:rsidRPr="000A20DC" w:rsidRDefault="004C1521" w:rsidP="00D3413A">
            <w:pPr>
              <w:rPr>
                <w:rFonts w:asciiTheme="minorHAnsi" w:eastAsiaTheme="minorHAnsi" w:hAnsiTheme="minorHAnsi" w:cstheme="minorHAnsi"/>
                <w:sz w:val="22"/>
                <w:szCs w:val="22"/>
                <w:lang w:eastAsia="en-US"/>
              </w:rPr>
            </w:pPr>
          </w:p>
          <w:p w14:paraId="024C2BB2" w14:textId="5A76294A"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Restriction reviews for ezetimibe and antihypertensives have </w:t>
            </w:r>
            <w:r w:rsidR="00EE2C2B">
              <w:rPr>
                <w:rFonts w:asciiTheme="minorHAnsi" w:eastAsiaTheme="minorHAnsi" w:hAnsiTheme="minorHAnsi" w:cstheme="minorHAnsi"/>
                <w:sz w:val="22"/>
                <w:szCs w:val="22"/>
                <w:lang w:eastAsia="en-US"/>
              </w:rPr>
              <w:t>previously been</w:t>
            </w:r>
            <w:r w:rsidR="00EE2C2B" w:rsidRPr="000A20DC">
              <w:rPr>
                <w:rFonts w:asciiTheme="minorHAnsi" w:eastAsiaTheme="minorHAnsi" w:hAnsiTheme="minorHAnsi" w:cstheme="minorHAnsi"/>
                <w:sz w:val="22"/>
                <w:szCs w:val="22"/>
                <w:lang w:eastAsia="en-US"/>
              </w:rPr>
              <w:t xml:space="preserve"> </w:t>
            </w:r>
            <w:r w:rsidRPr="000A20DC">
              <w:rPr>
                <w:rFonts w:asciiTheme="minorHAnsi" w:eastAsiaTheme="minorHAnsi" w:hAnsiTheme="minorHAnsi" w:cstheme="minorHAnsi"/>
                <w:sz w:val="22"/>
                <w:szCs w:val="22"/>
                <w:lang w:eastAsia="en-US"/>
              </w:rPr>
              <w:t>undertaken</w:t>
            </w:r>
            <w:r w:rsidR="00EE2C2B">
              <w:rPr>
                <w:rFonts w:asciiTheme="minorHAnsi" w:eastAsiaTheme="minorHAnsi" w:hAnsiTheme="minorHAnsi" w:cstheme="minorHAnsi"/>
                <w:sz w:val="22"/>
                <w:szCs w:val="22"/>
                <w:lang w:eastAsia="en-US"/>
              </w:rPr>
              <w:t>.</w:t>
            </w:r>
          </w:p>
          <w:p w14:paraId="538DD04C" w14:textId="77777777" w:rsidR="004C1521" w:rsidRPr="000A20DC" w:rsidRDefault="004C1521" w:rsidP="00D3413A">
            <w:pPr>
              <w:rPr>
                <w:rFonts w:asciiTheme="minorHAnsi" w:eastAsiaTheme="minorHAnsi" w:hAnsiTheme="minorHAnsi" w:cstheme="minorHAnsi"/>
                <w:sz w:val="22"/>
                <w:szCs w:val="22"/>
                <w:lang w:eastAsia="en-US"/>
              </w:rPr>
            </w:pPr>
          </w:p>
          <w:p w14:paraId="3F35049C"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Next steps</w:t>
            </w:r>
          </w:p>
          <w:p w14:paraId="6FFEB04F" w14:textId="222D995B"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sz w:val="22"/>
                <w:szCs w:val="22"/>
                <w:lang w:eastAsia="en-US"/>
              </w:rPr>
              <w:t xml:space="preserve">The Department </w:t>
            </w:r>
            <w:r w:rsidR="00C0038A" w:rsidRPr="000A20DC">
              <w:rPr>
                <w:rFonts w:asciiTheme="minorHAnsi" w:eastAsiaTheme="minorHAnsi" w:hAnsiTheme="minorHAnsi" w:cstheme="minorHAnsi"/>
                <w:sz w:val="22"/>
                <w:szCs w:val="22"/>
                <w:lang w:eastAsia="en-US"/>
              </w:rPr>
              <w:t>is</w:t>
            </w:r>
            <w:r w:rsidRPr="000A20DC">
              <w:rPr>
                <w:rFonts w:asciiTheme="minorHAnsi" w:eastAsiaTheme="minorHAnsi" w:hAnsiTheme="minorHAnsi" w:cstheme="minorHAnsi"/>
                <w:sz w:val="22"/>
                <w:szCs w:val="22"/>
                <w:lang w:eastAsia="en-US"/>
              </w:rPr>
              <w:t xml:space="preserve"> </w:t>
            </w:r>
            <w:r w:rsidR="00C0038A" w:rsidRPr="000A20DC">
              <w:rPr>
                <w:rFonts w:asciiTheme="minorHAnsi" w:eastAsiaTheme="minorHAnsi" w:hAnsiTheme="minorHAnsi" w:cstheme="minorHAnsi"/>
                <w:sz w:val="22"/>
                <w:szCs w:val="22"/>
                <w:lang w:eastAsia="en-US"/>
              </w:rPr>
              <w:t xml:space="preserve">currently </w:t>
            </w:r>
            <w:r w:rsidRPr="000A20DC">
              <w:rPr>
                <w:rFonts w:asciiTheme="minorHAnsi" w:eastAsiaTheme="minorHAnsi" w:hAnsiTheme="minorHAnsi" w:cstheme="minorHAnsi"/>
                <w:sz w:val="22"/>
                <w:szCs w:val="22"/>
                <w:lang w:eastAsia="en-US"/>
              </w:rPr>
              <w:t>undertak</w:t>
            </w:r>
            <w:r w:rsidR="00C0038A" w:rsidRPr="000A20DC">
              <w:rPr>
                <w:rFonts w:asciiTheme="minorHAnsi" w:eastAsiaTheme="minorHAnsi" w:hAnsiTheme="minorHAnsi" w:cstheme="minorHAnsi"/>
                <w:sz w:val="22"/>
                <w:szCs w:val="22"/>
                <w:lang w:eastAsia="en-US"/>
              </w:rPr>
              <w:t>ing work to estimate the cost to the R/PBS of changing</w:t>
            </w:r>
            <w:r w:rsidRPr="000A20DC">
              <w:rPr>
                <w:rFonts w:asciiTheme="minorHAnsi" w:eastAsiaTheme="minorHAnsi" w:hAnsiTheme="minorHAnsi" w:cstheme="minorHAnsi"/>
                <w:sz w:val="22"/>
                <w:szCs w:val="22"/>
                <w:lang w:eastAsia="en-US"/>
              </w:rPr>
              <w:t xml:space="preserve"> several ‘low cost’ antidepressants </w:t>
            </w:r>
            <w:r w:rsidR="00C0038A" w:rsidRPr="000A20DC">
              <w:rPr>
                <w:rFonts w:asciiTheme="minorHAnsi" w:eastAsiaTheme="minorHAnsi" w:hAnsiTheme="minorHAnsi" w:cstheme="minorHAnsi"/>
                <w:sz w:val="22"/>
                <w:szCs w:val="22"/>
                <w:lang w:eastAsia="en-US"/>
              </w:rPr>
              <w:t xml:space="preserve">from </w:t>
            </w:r>
            <w:r w:rsidRPr="000A20DC">
              <w:rPr>
                <w:rFonts w:asciiTheme="minorHAnsi" w:eastAsiaTheme="minorHAnsi" w:hAnsiTheme="minorHAnsi" w:cstheme="minorHAnsi"/>
                <w:sz w:val="22"/>
                <w:szCs w:val="22"/>
                <w:lang w:eastAsia="en-US"/>
              </w:rPr>
              <w:t>Restricted Benefit listings</w:t>
            </w:r>
            <w:r w:rsidR="00C0038A" w:rsidRPr="000A20DC">
              <w:rPr>
                <w:rFonts w:asciiTheme="minorHAnsi" w:eastAsiaTheme="minorHAnsi" w:hAnsiTheme="minorHAnsi" w:cstheme="minorHAnsi"/>
                <w:sz w:val="22"/>
                <w:szCs w:val="22"/>
                <w:lang w:eastAsia="en-US"/>
              </w:rPr>
              <w:t xml:space="preserve"> to unrestricted listings. It is anticipated that this work will be provided to the PBAC for consideration in late 2026.</w:t>
            </w:r>
          </w:p>
        </w:tc>
        <w:tc>
          <w:tcPr>
            <w:tcW w:w="2873" w:type="dxa"/>
            <w:tcBorders>
              <w:top w:val="single" w:sz="8" w:space="0" w:color="auto"/>
              <w:left w:val="single" w:sz="8" w:space="0" w:color="auto"/>
              <w:bottom w:val="single" w:sz="8" w:space="0" w:color="auto"/>
              <w:right w:val="single" w:sz="8" w:space="0" w:color="auto"/>
            </w:tcBorders>
            <w:hideMark/>
          </w:tcPr>
          <w:p w14:paraId="18BEBD2A"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Various PBS-listed antidepressants</w:t>
            </w:r>
          </w:p>
        </w:tc>
      </w:tr>
      <w:tr w:rsidR="00D3413A" w:rsidRPr="000A20DC" w14:paraId="24AFE101" w14:textId="77777777" w:rsidTr="00A2609D">
        <w:trPr>
          <w:trHeight w:val="300"/>
        </w:trPr>
        <w:tc>
          <w:tcPr>
            <w:tcW w:w="2542" w:type="dxa"/>
            <w:tcBorders>
              <w:top w:val="single" w:sz="8" w:space="0" w:color="auto"/>
              <w:left w:val="single" w:sz="8" w:space="0" w:color="auto"/>
              <w:bottom w:val="single" w:sz="8" w:space="0" w:color="auto"/>
              <w:right w:val="single" w:sz="8" w:space="0" w:color="auto"/>
            </w:tcBorders>
            <w:hideMark/>
          </w:tcPr>
          <w:p w14:paraId="06115D55"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Palliative care</w:t>
            </w:r>
          </w:p>
        </w:tc>
        <w:tc>
          <w:tcPr>
            <w:tcW w:w="8745" w:type="dxa"/>
            <w:tcBorders>
              <w:top w:val="single" w:sz="8" w:space="0" w:color="auto"/>
              <w:left w:val="single" w:sz="8" w:space="0" w:color="auto"/>
              <w:bottom w:val="single" w:sz="8" w:space="0" w:color="auto"/>
              <w:right w:val="single" w:sz="8" w:space="0" w:color="auto"/>
            </w:tcBorders>
            <w:hideMark/>
          </w:tcPr>
          <w:p w14:paraId="633645A4"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Midazolam in palliative care</w:t>
            </w:r>
          </w:p>
          <w:p w14:paraId="0CE1DABC" w14:textId="77777777" w:rsidR="004C1521" w:rsidRPr="000A20DC" w:rsidRDefault="004C1521" w:rsidP="00D3413A">
            <w:pPr>
              <w:rPr>
                <w:rFonts w:asciiTheme="minorHAnsi" w:eastAsiaTheme="minorHAnsi" w:hAnsiTheme="minorHAnsi" w:cstheme="minorHAnsi"/>
                <w:b/>
                <w:bCs/>
                <w:sz w:val="22"/>
                <w:szCs w:val="22"/>
                <w:lang w:eastAsia="en-US"/>
              </w:rPr>
            </w:pPr>
          </w:p>
          <w:p w14:paraId="341A9486"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Background</w:t>
            </w:r>
          </w:p>
          <w:p w14:paraId="7AC09A63" w14:textId="77777777"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In September 2020, the PBAC considered outcomes from the Palliative Care Schedule Review and considered there was a clinical need for PBS-subsidised midazolam in the palliative care setting.</w:t>
            </w:r>
          </w:p>
          <w:p w14:paraId="7FB9B4DE" w14:textId="77777777" w:rsidR="004C1521" w:rsidRPr="000A20DC" w:rsidRDefault="004C1521" w:rsidP="00D3413A">
            <w:pPr>
              <w:rPr>
                <w:rFonts w:asciiTheme="minorHAnsi" w:eastAsiaTheme="minorHAnsi" w:hAnsiTheme="minorHAnsi" w:cstheme="minorHAnsi"/>
                <w:sz w:val="22"/>
                <w:szCs w:val="22"/>
                <w:lang w:eastAsia="en-US"/>
              </w:rPr>
            </w:pPr>
          </w:p>
          <w:p w14:paraId="49EFD3A2"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1096B782" w14:textId="53F6CAAD"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In September 2024, the PBAC agreed that the PMR section undertake research and stakeholder engagement activities to inform the committee’s consideration of listing midazolam on the </w:t>
            </w:r>
            <w:r w:rsidRPr="000A20DC">
              <w:rPr>
                <w:rFonts w:asciiTheme="minorHAnsi" w:eastAsiaTheme="minorHAnsi" w:hAnsiTheme="minorHAnsi" w:cstheme="minorHAnsi"/>
                <w:sz w:val="22"/>
                <w:szCs w:val="22"/>
                <w:lang w:eastAsia="en-US"/>
              </w:rPr>
              <w:lastRenderedPageBreak/>
              <w:t xml:space="preserve">Palliative Care Schedule at a future meeting. </w:t>
            </w:r>
            <w:r w:rsidR="009A3CA1" w:rsidRPr="000A20DC">
              <w:rPr>
                <w:rFonts w:asciiTheme="minorHAnsi" w:eastAsiaTheme="minorHAnsi" w:hAnsiTheme="minorHAnsi" w:cstheme="minorHAnsi"/>
                <w:sz w:val="22"/>
                <w:szCs w:val="22"/>
                <w:lang w:eastAsia="en-US"/>
              </w:rPr>
              <w:t>The Department contacted the current sponsor of midazolam on the PBS Prescriber Bag in early 2025, but the sponsor has not indicated interest in expanding the current PBS listing.</w:t>
            </w:r>
          </w:p>
          <w:p w14:paraId="259EE9FC" w14:textId="77777777" w:rsidR="004C1521" w:rsidRPr="000A20DC" w:rsidRDefault="004C1521" w:rsidP="00D3413A">
            <w:pPr>
              <w:rPr>
                <w:rFonts w:asciiTheme="minorHAnsi" w:eastAsiaTheme="minorHAnsi" w:hAnsiTheme="minorHAnsi" w:cstheme="minorHAnsi"/>
                <w:sz w:val="22"/>
                <w:szCs w:val="22"/>
                <w:lang w:eastAsia="en-US"/>
              </w:rPr>
            </w:pPr>
          </w:p>
          <w:p w14:paraId="010ABEE9"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Next steps</w:t>
            </w:r>
          </w:p>
          <w:p w14:paraId="144AAB77" w14:textId="77777777" w:rsidR="00D3413A" w:rsidRPr="000A20DC" w:rsidRDefault="00D3413A" w:rsidP="004C1521">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Cs/>
                <w:sz w:val="22"/>
                <w:szCs w:val="22"/>
                <w:lang w:eastAsia="en-US"/>
              </w:rPr>
              <w:t xml:space="preserve">The Department will consult with sponsors, clinical and consumer groups to inform PBAC’s future considerations and estimate the financial impact of a potential Palliative Care Schedule listing for </w:t>
            </w:r>
            <w:r w:rsidRPr="000A20DC">
              <w:rPr>
                <w:rFonts w:asciiTheme="minorHAnsi" w:eastAsiaTheme="minorHAnsi" w:hAnsiTheme="minorHAnsi" w:cstheme="minorHAnsi"/>
                <w:sz w:val="22"/>
                <w:szCs w:val="22"/>
                <w:lang w:eastAsia="en-US"/>
              </w:rPr>
              <w:t>midazolam</w:t>
            </w:r>
            <w:r w:rsidRPr="000A20DC">
              <w:rPr>
                <w:rFonts w:asciiTheme="minorHAnsi" w:eastAsiaTheme="minorHAnsi" w:hAnsiTheme="minorHAnsi" w:cstheme="minorHAnsi"/>
                <w:bCs/>
                <w:sz w:val="22"/>
                <w:szCs w:val="22"/>
                <w:lang w:eastAsia="en-US"/>
              </w:rPr>
              <w:t>.</w:t>
            </w:r>
          </w:p>
        </w:tc>
        <w:tc>
          <w:tcPr>
            <w:tcW w:w="2873" w:type="dxa"/>
            <w:tcBorders>
              <w:top w:val="single" w:sz="8" w:space="0" w:color="auto"/>
              <w:left w:val="single" w:sz="8" w:space="0" w:color="auto"/>
              <w:bottom w:val="single" w:sz="8" w:space="0" w:color="auto"/>
              <w:right w:val="single" w:sz="8" w:space="0" w:color="auto"/>
            </w:tcBorders>
            <w:hideMark/>
          </w:tcPr>
          <w:p w14:paraId="0FA0BE44"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 xml:space="preserve">Midazolam </w:t>
            </w:r>
          </w:p>
        </w:tc>
      </w:tr>
      <w:tr w:rsidR="00D3413A" w:rsidRPr="000A20DC" w14:paraId="7A4072A2" w14:textId="77777777" w:rsidTr="00A2609D">
        <w:trPr>
          <w:trHeight w:val="300"/>
        </w:trPr>
        <w:tc>
          <w:tcPr>
            <w:tcW w:w="2542" w:type="dxa"/>
            <w:tcBorders>
              <w:top w:val="single" w:sz="4" w:space="0" w:color="auto"/>
              <w:left w:val="single" w:sz="4" w:space="0" w:color="auto"/>
              <w:bottom w:val="single" w:sz="4" w:space="0" w:color="auto"/>
              <w:right w:val="single" w:sz="4" w:space="0" w:color="auto"/>
            </w:tcBorders>
            <w:hideMark/>
          </w:tcPr>
          <w:p w14:paraId="0A57983B" w14:textId="77777777" w:rsidR="00D3413A" w:rsidRPr="000A20DC" w:rsidRDefault="00D3413A" w:rsidP="00D3413A">
            <w:pPr>
              <w:rPr>
                <w:rFonts w:asciiTheme="minorHAnsi" w:eastAsiaTheme="minorHAnsi" w:hAnsiTheme="minorHAnsi" w:cstheme="minorHAnsi"/>
                <w:color w:val="FF0000"/>
                <w:sz w:val="22"/>
                <w:szCs w:val="22"/>
                <w:lang w:eastAsia="en-US"/>
              </w:rPr>
            </w:pPr>
            <w:r w:rsidRPr="000A20DC">
              <w:rPr>
                <w:rFonts w:asciiTheme="minorHAnsi" w:eastAsiaTheme="minorHAnsi" w:hAnsiTheme="minorHAnsi" w:cstheme="minorHAnsi"/>
                <w:sz w:val="22"/>
                <w:szCs w:val="22"/>
                <w:lang w:eastAsia="en-US"/>
              </w:rPr>
              <w:t>Pulmonary arterial hypertension (PAH)</w:t>
            </w:r>
          </w:p>
        </w:tc>
        <w:tc>
          <w:tcPr>
            <w:tcW w:w="8745" w:type="dxa"/>
            <w:tcBorders>
              <w:top w:val="single" w:sz="4" w:space="0" w:color="auto"/>
              <w:left w:val="single" w:sz="4" w:space="0" w:color="auto"/>
              <w:bottom w:val="single" w:sz="4" w:space="0" w:color="auto"/>
              <w:right w:val="single" w:sz="4" w:space="0" w:color="auto"/>
            </w:tcBorders>
            <w:hideMark/>
          </w:tcPr>
          <w:p w14:paraId="5D77B562"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 xml:space="preserve">Pulmonary arterial hypertension </w:t>
            </w:r>
          </w:p>
          <w:p w14:paraId="64253678" w14:textId="77777777" w:rsidR="004C1521" w:rsidRPr="000A20DC" w:rsidRDefault="004C1521" w:rsidP="00D3413A">
            <w:pPr>
              <w:rPr>
                <w:rFonts w:asciiTheme="minorHAnsi" w:eastAsiaTheme="minorHAnsi" w:hAnsiTheme="minorHAnsi" w:cstheme="minorHAnsi"/>
                <w:b/>
                <w:bCs/>
                <w:sz w:val="22"/>
                <w:szCs w:val="22"/>
                <w:lang w:eastAsia="en-US"/>
              </w:rPr>
            </w:pPr>
          </w:p>
          <w:p w14:paraId="54765DA9"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Background</w:t>
            </w:r>
          </w:p>
          <w:p w14:paraId="5BF3F183" w14:textId="1C327BBD" w:rsidR="00D3413A" w:rsidRPr="000A20DC" w:rsidRDefault="00D3413A" w:rsidP="00D3413A">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At its March 2025 meeting the PBAC </w:t>
            </w:r>
            <w:r w:rsidR="00FD6F01" w:rsidRPr="000A20DC">
              <w:rPr>
                <w:rFonts w:asciiTheme="minorHAnsi" w:eastAsiaTheme="minorHAnsi" w:hAnsiTheme="minorHAnsi" w:cstheme="minorHAnsi"/>
                <w:sz w:val="22"/>
                <w:szCs w:val="22"/>
                <w:lang w:eastAsia="en-US"/>
              </w:rPr>
              <w:t>did not recommend</w:t>
            </w:r>
            <w:r w:rsidRPr="000A20DC">
              <w:rPr>
                <w:rFonts w:asciiTheme="minorHAnsi" w:eastAsiaTheme="minorHAnsi" w:hAnsiTheme="minorHAnsi" w:cstheme="minorHAnsi"/>
                <w:sz w:val="22"/>
                <w:szCs w:val="22"/>
                <w:lang w:eastAsia="en-US"/>
              </w:rPr>
              <w:t xml:space="preserve"> a submission for </w:t>
            </w:r>
            <w:proofErr w:type="spellStart"/>
            <w:r w:rsidRPr="000A20DC">
              <w:rPr>
                <w:rFonts w:asciiTheme="minorHAnsi" w:eastAsiaTheme="minorHAnsi" w:hAnsiTheme="minorHAnsi" w:cstheme="minorHAnsi"/>
                <w:sz w:val="22"/>
                <w:szCs w:val="22"/>
                <w:lang w:eastAsia="en-US"/>
              </w:rPr>
              <w:t>sotatercept</w:t>
            </w:r>
            <w:proofErr w:type="spellEnd"/>
            <w:r w:rsidRPr="000A20DC">
              <w:rPr>
                <w:rFonts w:asciiTheme="minorHAnsi" w:eastAsiaTheme="minorHAnsi" w:hAnsiTheme="minorHAnsi" w:cstheme="minorHAnsi"/>
                <w:sz w:val="22"/>
                <w:szCs w:val="22"/>
                <w:lang w:eastAsia="en-US"/>
              </w:rPr>
              <w:t xml:space="preserve"> as add</w:t>
            </w:r>
            <w:r w:rsidR="0018211E" w:rsidRPr="000A20DC">
              <w:rPr>
                <w:rFonts w:asciiTheme="minorHAnsi" w:eastAsiaTheme="minorHAnsi" w:hAnsiTheme="minorHAnsi" w:cstheme="minorHAnsi"/>
                <w:sz w:val="22"/>
                <w:szCs w:val="22"/>
                <w:lang w:eastAsia="en-US"/>
              </w:rPr>
              <w:noBreakHyphen/>
            </w:r>
            <w:r w:rsidRPr="000A20DC">
              <w:rPr>
                <w:rFonts w:asciiTheme="minorHAnsi" w:eastAsiaTheme="minorHAnsi" w:hAnsiTheme="minorHAnsi" w:cstheme="minorHAnsi"/>
                <w:sz w:val="22"/>
                <w:szCs w:val="22"/>
                <w:lang w:eastAsia="en-US"/>
              </w:rPr>
              <w:t xml:space="preserve">on therapy in patients with pulmonary arterial hypertension (PAH) World Health Organisation (WHO) Functional class (FC) II-III. The PBAC noted the requested listing raised disconnections between currently available PAH medicines on the PBS and international PAH guidelines, which in turn informs the potential clinical place of </w:t>
            </w:r>
            <w:proofErr w:type="spellStart"/>
            <w:r w:rsidRPr="000A20DC">
              <w:rPr>
                <w:rFonts w:asciiTheme="minorHAnsi" w:eastAsiaTheme="minorHAnsi" w:hAnsiTheme="minorHAnsi" w:cstheme="minorHAnsi"/>
                <w:sz w:val="22"/>
                <w:szCs w:val="22"/>
                <w:lang w:eastAsia="en-US"/>
              </w:rPr>
              <w:t>sotatercept</w:t>
            </w:r>
            <w:proofErr w:type="spellEnd"/>
            <w:r w:rsidRPr="000A20DC">
              <w:rPr>
                <w:rFonts w:asciiTheme="minorHAnsi" w:eastAsiaTheme="minorHAnsi" w:hAnsiTheme="minorHAnsi" w:cstheme="minorHAnsi"/>
                <w:sz w:val="22"/>
                <w:szCs w:val="22"/>
                <w:lang w:eastAsia="en-US"/>
              </w:rPr>
              <w:t xml:space="preserve"> on the PBS. The PBAC requested that the Department undertake a review of the restrictions for currently listed PAH medicines regarding consistency with international PAH treatment guidelines.</w:t>
            </w:r>
          </w:p>
          <w:p w14:paraId="3519B0CB" w14:textId="77777777" w:rsidR="00F64F95" w:rsidRPr="000A20DC" w:rsidRDefault="00F64F95" w:rsidP="00F64F95">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On 12 August 2025, a stakeholder meeting was conducted to seek clinician input on therapy for patients with PAH and WHO FC II symptoms, including the role of </w:t>
            </w:r>
            <w:proofErr w:type="spellStart"/>
            <w:r w:rsidRPr="000A20DC">
              <w:rPr>
                <w:rFonts w:asciiTheme="minorHAnsi" w:eastAsiaTheme="minorHAnsi" w:hAnsiTheme="minorHAnsi" w:cstheme="minorHAnsi"/>
                <w:sz w:val="22"/>
                <w:szCs w:val="22"/>
                <w:lang w:eastAsia="en-US"/>
              </w:rPr>
              <w:t>sotatercept</w:t>
            </w:r>
            <w:proofErr w:type="spellEnd"/>
            <w:r w:rsidRPr="000A20DC">
              <w:rPr>
                <w:rFonts w:asciiTheme="minorHAnsi" w:eastAsiaTheme="minorHAnsi" w:hAnsiTheme="minorHAnsi" w:cstheme="minorHAnsi"/>
                <w:sz w:val="22"/>
                <w:szCs w:val="22"/>
                <w:lang w:eastAsia="en-US"/>
              </w:rPr>
              <w:t xml:space="preserve"> in the PAH treatment paradigm. An </w:t>
            </w:r>
            <w:hyperlink r:id="rId19" w:history="1">
              <w:r w:rsidRPr="000A20DC">
                <w:rPr>
                  <w:rStyle w:val="Hyperlink"/>
                  <w:rFonts w:asciiTheme="minorHAnsi" w:eastAsiaTheme="minorHAnsi" w:hAnsiTheme="minorHAnsi" w:cstheme="minorHAnsi"/>
                  <w:sz w:val="22"/>
                  <w:szCs w:val="22"/>
                  <w:lang w:eastAsia="en-US"/>
                </w:rPr>
                <w:t>outcome statement</w:t>
              </w:r>
            </w:hyperlink>
            <w:r w:rsidRPr="000A20DC">
              <w:rPr>
                <w:rFonts w:asciiTheme="minorHAnsi" w:eastAsiaTheme="minorHAnsi" w:hAnsiTheme="minorHAnsi" w:cstheme="minorHAnsi"/>
                <w:color w:val="FF0000"/>
                <w:sz w:val="22"/>
                <w:szCs w:val="22"/>
                <w:lang w:eastAsia="en-US"/>
              </w:rPr>
              <w:t xml:space="preserve"> </w:t>
            </w:r>
            <w:r w:rsidRPr="000A20DC">
              <w:rPr>
                <w:rFonts w:asciiTheme="minorHAnsi" w:eastAsiaTheme="minorHAnsi" w:hAnsiTheme="minorHAnsi" w:cstheme="minorHAnsi"/>
                <w:sz w:val="22"/>
                <w:szCs w:val="22"/>
                <w:lang w:eastAsia="en-US"/>
              </w:rPr>
              <w:t xml:space="preserve">was published on 23 September 2025. </w:t>
            </w:r>
          </w:p>
          <w:p w14:paraId="11DD4C36" w14:textId="77777777" w:rsidR="004C1521" w:rsidRPr="000A20DC" w:rsidRDefault="004C1521" w:rsidP="00D3413A">
            <w:pPr>
              <w:rPr>
                <w:rFonts w:asciiTheme="minorHAnsi" w:eastAsiaTheme="minorHAnsi" w:hAnsiTheme="minorHAnsi" w:cstheme="minorHAnsi"/>
                <w:color w:val="FF0000"/>
                <w:sz w:val="22"/>
                <w:szCs w:val="22"/>
                <w:lang w:eastAsia="en-US"/>
              </w:rPr>
            </w:pPr>
          </w:p>
          <w:p w14:paraId="3885159E"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6EF0C1DE" w14:textId="5643FE5F" w:rsidR="00F64F95" w:rsidRPr="000A20DC" w:rsidRDefault="00F64F95" w:rsidP="0063274F">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At its December 2025 meeting, the PBAC recommended amending listings for endothelin receptor antagonists (ERAs) and phosphodiesterase-5 inhibitors (PDE</w:t>
            </w:r>
            <w:r w:rsidR="00A27AB4">
              <w:rPr>
                <w:rFonts w:asciiTheme="minorHAnsi" w:eastAsiaTheme="minorHAnsi" w:hAnsiTheme="minorHAnsi" w:cstheme="minorHAnsi"/>
                <w:sz w:val="22"/>
                <w:szCs w:val="22"/>
                <w:lang w:eastAsia="en-US"/>
              </w:rPr>
              <w:noBreakHyphen/>
            </w:r>
            <w:r w:rsidRPr="000A20DC">
              <w:rPr>
                <w:rFonts w:asciiTheme="minorHAnsi" w:eastAsiaTheme="minorHAnsi" w:hAnsiTheme="minorHAnsi" w:cstheme="minorHAnsi"/>
                <w:sz w:val="22"/>
                <w:szCs w:val="22"/>
                <w:lang w:eastAsia="en-US"/>
              </w:rPr>
              <w:t>5i) to allow earlier access to dual therapy (ERA plus PDE-5i) in patients with WHO FC II PAH.</w:t>
            </w:r>
          </w:p>
          <w:p w14:paraId="14A2C8E8" w14:textId="7129DC91" w:rsidR="0063274F" w:rsidRPr="000A20DC" w:rsidRDefault="00F64F95" w:rsidP="00D3413A">
            <w:pPr>
              <w:rPr>
                <w:rFonts w:asciiTheme="minorHAnsi" w:eastAsiaTheme="minorHAnsi" w:hAnsiTheme="minorHAnsi" w:cstheme="minorHAnsi"/>
                <w:color w:val="FF0000"/>
                <w:sz w:val="22"/>
                <w:szCs w:val="22"/>
                <w:lang w:eastAsia="en-US"/>
              </w:rPr>
            </w:pPr>
            <w:r w:rsidRPr="000A20DC">
              <w:rPr>
                <w:rFonts w:asciiTheme="minorHAnsi" w:eastAsiaTheme="minorHAnsi" w:hAnsiTheme="minorHAnsi" w:cstheme="minorHAnsi"/>
                <w:sz w:val="22"/>
                <w:szCs w:val="22"/>
                <w:lang w:eastAsia="en-US"/>
              </w:rPr>
              <w:t xml:space="preserve">  </w:t>
            </w:r>
          </w:p>
          <w:p w14:paraId="2DFC2E00"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Next steps</w:t>
            </w:r>
          </w:p>
          <w:p w14:paraId="392219B5" w14:textId="70FCE339" w:rsidR="00F64F95" w:rsidRDefault="00F64F95" w:rsidP="00460250">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The PBAC’s December 2025 recommendations relating to PAH medicines </w:t>
            </w:r>
            <w:r w:rsidR="00BD6507">
              <w:rPr>
                <w:rFonts w:asciiTheme="minorHAnsi" w:eastAsiaTheme="minorHAnsi" w:hAnsiTheme="minorHAnsi" w:cstheme="minorHAnsi"/>
                <w:sz w:val="22"/>
                <w:szCs w:val="22"/>
                <w:lang w:eastAsia="en-US"/>
              </w:rPr>
              <w:t>were</w:t>
            </w:r>
            <w:r w:rsidRPr="000A20DC">
              <w:rPr>
                <w:rFonts w:asciiTheme="minorHAnsi" w:eastAsiaTheme="minorHAnsi" w:hAnsiTheme="minorHAnsi" w:cstheme="minorHAnsi"/>
                <w:sz w:val="22"/>
                <w:szCs w:val="22"/>
                <w:lang w:eastAsia="en-US"/>
              </w:rPr>
              <w:t xml:space="preserve"> implemented </w:t>
            </w:r>
            <w:r w:rsidR="00BD6507">
              <w:rPr>
                <w:rFonts w:asciiTheme="minorHAnsi" w:eastAsiaTheme="minorHAnsi" w:hAnsiTheme="minorHAnsi" w:cstheme="minorHAnsi"/>
                <w:sz w:val="22"/>
                <w:szCs w:val="22"/>
                <w:lang w:eastAsia="en-US"/>
              </w:rPr>
              <w:t>on 1 July 2026</w:t>
            </w:r>
            <w:r w:rsidRPr="000A20DC">
              <w:rPr>
                <w:rFonts w:asciiTheme="minorHAnsi" w:eastAsiaTheme="minorHAnsi" w:hAnsiTheme="minorHAnsi" w:cstheme="minorHAnsi"/>
                <w:sz w:val="22"/>
                <w:szCs w:val="22"/>
                <w:lang w:eastAsia="en-US"/>
              </w:rPr>
              <w:t xml:space="preserve">. </w:t>
            </w:r>
          </w:p>
          <w:p w14:paraId="35725FCA" w14:textId="77777777" w:rsidR="00BD6507" w:rsidRPr="000A20DC" w:rsidRDefault="00BD6507" w:rsidP="00460250">
            <w:pPr>
              <w:rPr>
                <w:rFonts w:asciiTheme="minorHAnsi" w:eastAsiaTheme="minorHAnsi" w:hAnsiTheme="minorHAnsi" w:cstheme="minorHAnsi"/>
                <w:sz w:val="22"/>
                <w:szCs w:val="22"/>
                <w:lang w:eastAsia="en-US"/>
              </w:rPr>
            </w:pPr>
          </w:p>
          <w:p w14:paraId="6EA88371" w14:textId="3F161123" w:rsidR="00D3413A" w:rsidRPr="00645409" w:rsidRDefault="00645409" w:rsidP="00645409">
            <w:pPr>
              <w:keepNext/>
              <w:rPr>
                <w:rFonts w:asciiTheme="minorHAnsi" w:hAnsiTheme="minorHAnsi"/>
                <w:kern w:val="2"/>
                <w:sz w:val="22"/>
                <w:szCs w:val="24"/>
                <w14:ligatures w14:val="standardContextual"/>
              </w:rPr>
            </w:pPr>
            <w:r>
              <w:rPr>
                <w:rFonts w:ascii="Calibri" w:hAnsi="Calibri" w:cs="Calibri"/>
                <w:sz w:val="22"/>
                <w:szCs w:val="22"/>
              </w:rPr>
              <w:t xml:space="preserve">At the May intracycle meeting, the PBAC considered options to amend PBS restrictions for PAH medicines to allow clinicians the option of initiating/escalating treatment based on a patient’s mortality risk, rather than only based on WHO FC. The PBAC recommended amending the PBS </w:t>
            </w:r>
            <w:r>
              <w:rPr>
                <w:rFonts w:ascii="Calibri" w:hAnsi="Calibri" w:cs="Calibri"/>
                <w:sz w:val="22"/>
                <w:szCs w:val="22"/>
              </w:rPr>
              <w:lastRenderedPageBreak/>
              <w:t xml:space="preserve">restrictions for PAH </w:t>
            </w:r>
            <w:r w:rsidRPr="00A57254">
              <w:rPr>
                <w:rFonts w:ascii="Calibri" w:hAnsi="Calibri" w:cs="Calibri"/>
                <w:sz w:val="22"/>
                <w:szCs w:val="22"/>
              </w:rPr>
              <w:t xml:space="preserve">medicines to </w:t>
            </w:r>
            <w:r w:rsidR="00A57254" w:rsidRPr="00A57254">
              <w:rPr>
                <w:rFonts w:ascii="Calibri" w:hAnsi="Calibri" w:cs="Calibri"/>
                <w:sz w:val="22"/>
                <w:szCs w:val="22"/>
              </w:rPr>
              <w:t xml:space="preserve">include </w:t>
            </w:r>
            <w:r w:rsidRPr="00A57254">
              <w:rPr>
                <w:rFonts w:ascii="Calibri" w:hAnsi="Calibri" w:cs="Calibri"/>
                <w:sz w:val="22"/>
                <w:szCs w:val="22"/>
              </w:rPr>
              <w:t>the option to use</w:t>
            </w:r>
            <w:r w:rsidR="007856D2" w:rsidRPr="00A57254">
              <w:rPr>
                <w:rFonts w:ascii="Calibri" w:hAnsi="Calibri" w:cs="Calibri"/>
                <w:sz w:val="22"/>
                <w:szCs w:val="22"/>
              </w:rPr>
              <w:t xml:space="preserve"> </w:t>
            </w:r>
            <w:r w:rsidRPr="00A57254">
              <w:rPr>
                <w:rFonts w:ascii="Calibri" w:hAnsi="Calibri" w:cs="Calibri"/>
                <w:sz w:val="22"/>
                <w:szCs w:val="22"/>
              </w:rPr>
              <w:t>risk assessment, with the final</w:t>
            </w:r>
            <w:r>
              <w:rPr>
                <w:rFonts w:ascii="Calibri" w:hAnsi="Calibri" w:cs="Calibri"/>
                <w:sz w:val="22"/>
                <w:szCs w:val="22"/>
              </w:rPr>
              <w:t xml:space="preserve"> restriction wording to be finalised pending consultation with subject matter experts. The PBAC recommended changes will be implemented as part of upcoming monthly changes to the PBS schedule.</w:t>
            </w:r>
          </w:p>
        </w:tc>
        <w:tc>
          <w:tcPr>
            <w:tcW w:w="2873" w:type="dxa"/>
            <w:tcBorders>
              <w:top w:val="single" w:sz="4" w:space="0" w:color="auto"/>
              <w:left w:val="single" w:sz="4" w:space="0" w:color="auto"/>
              <w:bottom w:val="single" w:sz="4" w:space="0" w:color="auto"/>
              <w:right w:val="single" w:sz="4" w:space="0" w:color="auto"/>
            </w:tcBorders>
            <w:hideMark/>
          </w:tcPr>
          <w:p w14:paraId="51C78A60" w14:textId="77777777" w:rsidR="00D3413A" w:rsidRPr="000A20DC" w:rsidRDefault="00D3413A" w:rsidP="00D3413A">
            <w:pPr>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PBS-listed medicines indicated for pulmonary arterial hypertension</w:t>
            </w:r>
          </w:p>
          <w:p w14:paraId="6F145652" w14:textId="77777777" w:rsidR="00D3413A" w:rsidRPr="000A20DC" w:rsidRDefault="00D3413A" w:rsidP="00D3413A">
            <w:pPr>
              <w:numPr>
                <w:ilvl w:val="0"/>
                <w:numId w:val="25"/>
              </w:numPr>
              <w:rPr>
                <w:rFonts w:asciiTheme="minorHAnsi" w:eastAsiaTheme="minorHAnsi" w:hAnsiTheme="minorHAnsi" w:cstheme="minorHAnsi"/>
                <w:color w:val="FF0000"/>
                <w:sz w:val="22"/>
                <w:szCs w:val="22"/>
                <w:lang w:eastAsia="en-US"/>
              </w:rPr>
            </w:pPr>
            <w:proofErr w:type="spellStart"/>
            <w:r w:rsidRPr="000A20DC">
              <w:rPr>
                <w:rFonts w:asciiTheme="minorHAnsi" w:eastAsiaTheme="minorHAnsi" w:hAnsiTheme="minorHAnsi" w:cstheme="minorHAnsi"/>
                <w:sz w:val="22"/>
                <w:szCs w:val="22"/>
                <w:lang w:eastAsia="en-US"/>
              </w:rPr>
              <w:t>Sotatercept</w:t>
            </w:r>
            <w:proofErr w:type="spellEnd"/>
          </w:p>
        </w:tc>
      </w:tr>
      <w:tr w:rsidR="00D3413A" w:rsidRPr="000A20DC" w14:paraId="03BD45F4" w14:textId="77777777" w:rsidTr="00A2609D">
        <w:trPr>
          <w:trHeight w:val="300"/>
        </w:trPr>
        <w:tc>
          <w:tcPr>
            <w:tcW w:w="2542" w:type="dxa"/>
            <w:tcBorders>
              <w:top w:val="single" w:sz="4" w:space="0" w:color="auto"/>
              <w:left w:val="single" w:sz="4" w:space="0" w:color="auto"/>
              <w:bottom w:val="single" w:sz="4" w:space="0" w:color="auto"/>
              <w:right w:val="single" w:sz="4" w:space="0" w:color="auto"/>
            </w:tcBorders>
            <w:hideMark/>
          </w:tcPr>
          <w:p w14:paraId="157AB1F5" w14:textId="791DE0A8" w:rsidR="00D3413A" w:rsidRPr="000A20DC" w:rsidRDefault="00D3413A" w:rsidP="00D3413A">
            <w:pPr>
              <w:rPr>
                <w:rFonts w:asciiTheme="minorHAnsi" w:eastAsiaTheme="minorHAnsi" w:hAnsiTheme="minorHAnsi" w:cstheme="minorHAnsi"/>
                <w:color w:val="FF0000"/>
                <w:sz w:val="22"/>
                <w:szCs w:val="22"/>
                <w:lang w:eastAsia="en-US"/>
              </w:rPr>
            </w:pPr>
            <w:r w:rsidRPr="000A20DC">
              <w:rPr>
                <w:rFonts w:asciiTheme="minorHAnsi" w:eastAsiaTheme="minorHAnsi" w:hAnsiTheme="minorHAnsi" w:cstheme="minorHAnsi"/>
                <w:sz w:val="22"/>
                <w:szCs w:val="22"/>
                <w:lang w:eastAsia="en-US"/>
              </w:rPr>
              <w:t>Various</w:t>
            </w:r>
          </w:p>
        </w:tc>
        <w:tc>
          <w:tcPr>
            <w:tcW w:w="8745" w:type="dxa"/>
            <w:tcBorders>
              <w:top w:val="single" w:sz="4" w:space="0" w:color="auto"/>
              <w:left w:val="single" w:sz="4" w:space="0" w:color="auto"/>
              <w:bottom w:val="single" w:sz="4" w:space="0" w:color="auto"/>
              <w:right w:val="single" w:sz="4" w:space="0" w:color="auto"/>
            </w:tcBorders>
          </w:tcPr>
          <w:p w14:paraId="1F09B648"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 xml:space="preserve">Review of PBS Prescriber Bag </w:t>
            </w:r>
          </w:p>
          <w:p w14:paraId="4EA59799" w14:textId="77777777" w:rsidR="004C1521" w:rsidRPr="000A20DC" w:rsidRDefault="004C1521" w:rsidP="00D3413A">
            <w:pPr>
              <w:rPr>
                <w:rFonts w:asciiTheme="minorHAnsi" w:eastAsiaTheme="minorHAnsi" w:hAnsiTheme="minorHAnsi" w:cstheme="minorHAnsi"/>
                <w:b/>
                <w:sz w:val="22"/>
                <w:szCs w:val="22"/>
                <w:lang w:eastAsia="en-US"/>
              </w:rPr>
            </w:pPr>
          </w:p>
          <w:p w14:paraId="52A2BD6D" w14:textId="77777777" w:rsidR="00D3413A" w:rsidRPr="000A20DC" w:rsidRDefault="00D3413A" w:rsidP="00D3413A">
            <w:pPr>
              <w:rPr>
                <w:rFonts w:asciiTheme="minorHAnsi" w:eastAsiaTheme="minorHAnsi" w:hAnsiTheme="minorHAnsi" w:cstheme="minorHAnsi"/>
                <w:b/>
                <w:sz w:val="22"/>
                <w:szCs w:val="22"/>
                <w:lang w:eastAsia="en-US"/>
              </w:rPr>
            </w:pPr>
            <w:r w:rsidRPr="000A20DC">
              <w:rPr>
                <w:rFonts w:asciiTheme="minorHAnsi" w:eastAsiaTheme="minorHAnsi" w:hAnsiTheme="minorHAnsi" w:cstheme="minorHAnsi"/>
                <w:b/>
                <w:bCs/>
                <w:sz w:val="22"/>
                <w:szCs w:val="22"/>
                <w:lang w:eastAsia="en-US"/>
              </w:rPr>
              <w:t>Background</w:t>
            </w:r>
          </w:p>
          <w:p w14:paraId="3B4B7583" w14:textId="0A9F7315" w:rsidR="004B0FDD" w:rsidRPr="000A20DC" w:rsidRDefault="004B0FDD" w:rsidP="004B0FDD">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At its August 2024 Executive meeting, the PBAC noted stakeholder views that current Prescriber Bag medicines were no longer suitable for use in the contemporary emergency medicine setting</w:t>
            </w:r>
            <w:r w:rsidR="00416244" w:rsidRPr="000A20DC">
              <w:rPr>
                <w:rFonts w:asciiTheme="minorHAnsi" w:eastAsiaTheme="minorHAnsi" w:hAnsiTheme="minorHAnsi" w:cstheme="minorHAnsi"/>
                <w:sz w:val="22"/>
                <w:szCs w:val="22"/>
                <w:lang w:eastAsia="en-US"/>
              </w:rPr>
              <w:t xml:space="preserve"> and requested</w:t>
            </w:r>
            <w:r w:rsidRPr="000A20DC">
              <w:rPr>
                <w:rFonts w:asciiTheme="minorHAnsi" w:eastAsiaTheme="minorHAnsi" w:hAnsiTheme="minorHAnsi" w:cstheme="minorHAnsi"/>
                <w:sz w:val="22"/>
                <w:szCs w:val="22"/>
                <w:lang w:eastAsia="en-US"/>
              </w:rPr>
              <w:t xml:space="preserve"> the Department undertake a review of the PBS Prescriber Bag, which should include a utilisation analysis of Prescriber Bag medicines, and targeted consultation with key stakeholders on the medicines that would best support emergency care. The PBAC stated that the purpose of the Review is to ensure that the PBS Prescriber Bag supports emergency patient care through inclusion of pharmaceutical benefits that reflect contemporary best emergency practice and are efficacious and safe.</w:t>
            </w:r>
          </w:p>
          <w:p w14:paraId="491322C4" w14:textId="77777777" w:rsidR="004B0FDD" w:rsidRPr="000A20DC" w:rsidRDefault="004B0FDD" w:rsidP="004B0FDD">
            <w:pPr>
              <w:rPr>
                <w:rFonts w:asciiTheme="minorHAnsi" w:eastAsiaTheme="minorHAnsi" w:hAnsiTheme="minorHAnsi" w:cstheme="minorHAnsi"/>
                <w:sz w:val="22"/>
                <w:szCs w:val="22"/>
                <w:lang w:eastAsia="en-US"/>
              </w:rPr>
            </w:pPr>
          </w:p>
          <w:p w14:paraId="58E7EA12" w14:textId="5B08A2EC" w:rsidR="004B0FDD" w:rsidRPr="000A20DC" w:rsidRDefault="004B0FDD" w:rsidP="004B0FDD">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In December 2024, the Department commenced the Review by writing to key stakeholders, seeking input to inform the Review. In parallel with the stakeholder consultation process, the Department </w:t>
            </w:r>
            <w:r w:rsidR="009A0209" w:rsidRPr="000A20DC">
              <w:rPr>
                <w:rFonts w:asciiTheme="minorHAnsi" w:eastAsiaTheme="minorHAnsi" w:hAnsiTheme="minorHAnsi" w:cstheme="minorHAnsi"/>
                <w:sz w:val="22"/>
                <w:szCs w:val="22"/>
                <w:lang w:eastAsia="en-US"/>
              </w:rPr>
              <w:t xml:space="preserve">conducted </w:t>
            </w:r>
            <w:r w:rsidRPr="000A20DC">
              <w:rPr>
                <w:rFonts w:asciiTheme="minorHAnsi" w:eastAsiaTheme="minorHAnsi" w:hAnsiTheme="minorHAnsi" w:cstheme="minorHAnsi"/>
                <w:sz w:val="22"/>
                <w:szCs w:val="22"/>
                <w:lang w:eastAsia="en-US"/>
              </w:rPr>
              <w:t>a utilisation analysis of Prescriber Bag items, using PBS data over the 2018-2024 period.</w:t>
            </w:r>
          </w:p>
          <w:p w14:paraId="5AC4CAFD" w14:textId="77777777" w:rsidR="009A0209" w:rsidRPr="000A20DC" w:rsidRDefault="009A0209" w:rsidP="004B0FDD">
            <w:pPr>
              <w:rPr>
                <w:rFonts w:asciiTheme="minorHAnsi" w:eastAsiaTheme="minorHAnsi" w:hAnsiTheme="minorHAnsi" w:cstheme="minorHAnsi"/>
                <w:sz w:val="22"/>
                <w:szCs w:val="22"/>
                <w:lang w:eastAsia="en-US"/>
              </w:rPr>
            </w:pPr>
          </w:p>
          <w:p w14:paraId="0BFCA949" w14:textId="220EA9B3" w:rsidR="004B0FDD" w:rsidRPr="000A20DC" w:rsidRDefault="004B0FDD" w:rsidP="00A2609D">
            <w:pPr>
              <w:jc w:val="both"/>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At its May 2025 meeting, </w:t>
            </w:r>
            <w:r w:rsidR="00416244" w:rsidRPr="000A20DC">
              <w:rPr>
                <w:rFonts w:asciiTheme="minorHAnsi" w:eastAsiaTheme="minorHAnsi" w:hAnsiTheme="minorHAnsi" w:cstheme="minorHAnsi"/>
                <w:sz w:val="22"/>
                <w:szCs w:val="22"/>
                <w:lang w:eastAsia="en-US"/>
              </w:rPr>
              <w:t>t</w:t>
            </w:r>
            <w:r w:rsidRPr="000A20DC">
              <w:rPr>
                <w:rFonts w:asciiTheme="minorHAnsi" w:eastAsiaTheme="minorHAnsi" w:hAnsiTheme="minorHAnsi" w:cstheme="minorHAnsi"/>
                <w:sz w:val="22"/>
                <w:szCs w:val="22"/>
                <w:lang w:eastAsia="en-US"/>
              </w:rPr>
              <w:t>he PBAC discussed issues raised in stakeholder submissions and reiterated that the purpose of the Prescriber Bag is to provide medicines for emergency care</w:t>
            </w:r>
            <w:r w:rsidR="00A415B5" w:rsidRPr="000A20DC">
              <w:rPr>
                <w:rFonts w:asciiTheme="minorHAnsi" w:eastAsiaTheme="minorHAnsi" w:hAnsiTheme="minorHAnsi" w:cstheme="minorHAnsi"/>
                <w:sz w:val="22"/>
                <w:szCs w:val="22"/>
                <w:lang w:eastAsia="en-US"/>
              </w:rPr>
              <w:t>.</w:t>
            </w:r>
          </w:p>
          <w:p w14:paraId="0EDCAAE7" w14:textId="77777777" w:rsidR="00416244" w:rsidRPr="000A20DC" w:rsidRDefault="00416244" w:rsidP="004B0FDD">
            <w:pPr>
              <w:rPr>
                <w:rFonts w:asciiTheme="minorHAnsi" w:eastAsiaTheme="minorHAnsi" w:hAnsiTheme="minorHAnsi" w:cstheme="minorHAnsi"/>
                <w:sz w:val="22"/>
                <w:szCs w:val="22"/>
                <w:lang w:eastAsia="en-US"/>
              </w:rPr>
            </w:pPr>
          </w:p>
          <w:p w14:paraId="1A72FD81" w14:textId="77777777" w:rsidR="00BD6507" w:rsidRDefault="00416244" w:rsidP="00BD6507">
            <w:pPr>
              <w:jc w:val="both"/>
              <w:rPr>
                <w:rFonts w:asciiTheme="minorHAnsi" w:hAnsiTheme="minorHAnsi" w:cstheme="minorHAnsi"/>
                <w:sz w:val="22"/>
                <w:szCs w:val="22"/>
              </w:rPr>
            </w:pPr>
            <w:r w:rsidRPr="00977820">
              <w:rPr>
                <w:rFonts w:asciiTheme="minorHAnsi" w:eastAsiaTheme="minorHAnsi" w:hAnsiTheme="minorHAnsi" w:cstheme="minorHAnsi"/>
                <w:sz w:val="22"/>
                <w:szCs w:val="22"/>
              </w:rPr>
              <w:t xml:space="preserve">At its September 2025 meeting the </w:t>
            </w:r>
            <w:r w:rsidRPr="00977820">
              <w:rPr>
                <w:rFonts w:asciiTheme="minorHAnsi" w:hAnsiTheme="minorHAnsi" w:cstheme="minorHAnsi"/>
                <w:sz w:val="22"/>
                <w:szCs w:val="22"/>
              </w:rPr>
              <w:t xml:space="preserve">PBAC provided advice on the first tranche of the review. The first tranche included: (1) current Prescriber Bag items - potential removal (2) current Prescriber Bag items </w:t>
            </w:r>
            <w:r w:rsidRPr="00977820">
              <w:rPr>
                <w:rFonts w:asciiTheme="minorHAnsi" w:hAnsiTheme="minorHAnsi" w:cstheme="minorHAnsi"/>
                <w:sz w:val="22"/>
                <w:szCs w:val="22"/>
              </w:rPr>
              <w:noBreakHyphen/>
              <w:t xml:space="preserve"> requests for alternate strengths or increased maximum quantities and (3) current Prescriber Bag items - requests for new replacement items. </w:t>
            </w:r>
          </w:p>
          <w:p w14:paraId="5FD04266" w14:textId="77777777" w:rsidR="00BD6507" w:rsidRDefault="00BD6507" w:rsidP="00BD6507">
            <w:pPr>
              <w:jc w:val="both"/>
              <w:rPr>
                <w:rFonts w:asciiTheme="minorHAnsi" w:hAnsiTheme="minorHAnsi" w:cstheme="minorHAnsi"/>
                <w:sz w:val="22"/>
                <w:szCs w:val="22"/>
              </w:rPr>
            </w:pPr>
          </w:p>
          <w:p w14:paraId="70AB9CE9" w14:textId="34669E36" w:rsidR="00416244" w:rsidRDefault="00416244" w:rsidP="00A2609D">
            <w:pPr>
              <w:keepNext/>
              <w:keepLines/>
              <w:jc w:val="both"/>
              <w:rPr>
                <w:rFonts w:asciiTheme="minorHAnsi" w:hAnsiTheme="minorHAnsi" w:cstheme="minorHAnsi"/>
                <w:sz w:val="22"/>
                <w:szCs w:val="22"/>
              </w:rPr>
            </w:pPr>
            <w:r w:rsidRPr="00977820">
              <w:rPr>
                <w:rFonts w:asciiTheme="minorHAnsi" w:hAnsiTheme="minorHAnsi" w:cstheme="minorHAnsi"/>
                <w:sz w:val="22"/>
                <w:szCs w:val="22"/>
              </w:rPr>
              <w:lastRenderedPageBreak/>
              <w:t xml:space="preserve">The PBAC recommended that COVID-19 antiviral medicines be removed from the Prescriber Bag, retaining the General Schedule listing of these medicines. The PBAC recommended the addition of ceftriaxone 2 g injection on the Prescriber Bag, noting support from multiple stakeholders for the emergency treatment of sepsis. </w:t>
            </w:r>
            <w:r w:rsidR="007B0302">
              <w:rPr>
                <w:rFonts w:asciiTheme="minorHAnsi" w:hAnsiTheme="minorHAnsi" w:cstheme="minorHAnsi"/>
                <w:sz w:val="22"/>
                <w:szCs w:val="22"/>
              </w:rPr>
              <w:t>C</w:t>
            </w:r>
            <w:r w:rsidR="007B0302" w:rsidRPr="00977820">
              <w:rPr>
                <w:rFonts w:asciiTheme="minorHAnsi" w:hAnsiTheme="minorHAnsi" w:cstheme="minorHAnsi"/>
                <w:sz w:val="22"/>
                <w:szCs w:val="22"/>
              </w:rPr>
              <w:t>eftriaxone</w:t>
            </w:r>
            <w:r w:rsidRPr="00977820">
              <w:rPr>
                <w:rFonts w:asciiTheme="minorHAnsi" w:hAnsiTheme="minorHAnsi" w:cstheme="minorHAnsi"/>
                <w:sz w:val="22"/>
                <w:szCs w:val="22"/>
              </w:rPr>
              <w:t xml:space="preserve"> </w:t>
            </w:r>
            <w:r w:rsidR="007B0302">
              <w:rPr>
                <w:rFonts w:asciiTheme="minorHAnsi" w:hAnsiTheme="minorHAnsi" w:cstheme="minorHAnsi"/>
                <w:sz w:val="22"/>
                <w:szCs w:val="22"/>
              </w:rPr>
              <w:t>2 g injection was added to the Prescriber Bag on 1 January 2026.</w:t>
            </w:r>
          </w:p>
          <w:p w14:paraId="00E4B3E4" w14:textId="77777777" w:rsidR="00BD6507" w:rsidRPr="00A2609D" w:rsidRDefault="00BD6507" w:rsidP="00A2609D">
            <w:pPr>
              <w:jc w:val="both"/>
              <w:rPr>
                <w:rFonts w:asciiTheme="minorHAnsi" w:hAnsiTheme="minorHAnsi" w:cstheme="minorHAnsi"/>
                <w:sz w:val="22"/>
              </w:rPr>
            </w:pPr>
          </w:p>
          <w:p w14:paraId="29DC5DA0" w14:textId="070083BD" w:rsidR="004B0FDD" w:rsidRPr="00977820" w:rsidRDefault="00416244" w:rsidP="00977820">
            <w:pPr>
              <w:jc w:val="both"/>
              <w:rPr>
                <w:rFonts w:asciiTheme="minorHAnsi" w:hAnsiTheme="minorHAnsi" w:cstheme="minorHAnsi"/>
                <w:sz w:val="22"/>
                <w:szCs w:val="22"/>
              </w:rPr>
            </w:pPr>
            <w:r w:rsidRPr="000A20DC">
              <w:rPr>
                <w:rFonts w:asciiTheme="minorHAnsi" w:eastAsiaTheme="minorHAnsi" w:hAnsiTheme="minorHAnsi" w:cstheme="minorHAnsi"/>
                <w:sz w:val="22"/>
                <w:szCs w:val="22"/>
                <w:lang w:eastAsia="en-US"/>
              </w:rPr>
              <w:t xml:space="preserve">At its December 2025 meeting the PBAC provided advice on the second tranche of the review. </w:t>
            </w:r>
            <w:r w:rsidRPr="00977820">
              <w:rPr>
                <w:rFonts w:asciiTheme="minorHAnsi" w:hAnsiTheme="minorHAnsi" w:cstheme="minorHAnsi"/>
                <w:sz w:val="22"/>
                <w:szCs w:val="22"/>
              </w:rPr>
              <w:t xml:space="preserve">The PBAC considered both the consolidated stakeholder input received from the targeted consultation process and the Department’s application of the Prescriber Bag algorithm to the medicines requested by stakeholders to provide advice on the suitability of new medicines for inclusion in the Prescriber Bag. The PBAC did not recommend any new medicines for inclusion in the Prescriber Bag. </w:t>
            </w:r>
          </w:p>
          <w:p w14:paraId="1BEA8AF4" w14:textId="77777777" w:rsidR="00416244" w:rsidRPr="000A20DC" w:rsidRDefault="00416244" w:rsidP="00D3413A">
            <w:pPr>
              <w:rPr>
                <w:rFonts w:asciiTheme="minorHAnsi" w:eastAsiaTheme="minorHAnsi" w:hAnsiTheme="minorHAnsi" w:cstheme="minorHAnsi"/>
                <w:sz w:val="22"/>
                <w:szCs w:val="22"/>
                <w:lang w:eastAsia="en-US"/>
              </w:rPr>
            </w:pPr>
          </w:p>
          <w:p w14:paraId="4EEB9404" w14:textId="039339DF"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475AC3D7" w14:textId="544D2177" w:rsidR="004B0FDD" w:rsidRDefault="004F16B4" w:rsidP="004B0FDD">
            <w:p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At its meeting in July 2026, the PBAC considered </w:t>
            </w:r>
            <w:r w:rsidRPr="004F16B4">
              <w:rPr>
                <w:rFonts w:asciiTheme="minorHAnsi" w:eastAsiaTheme="minorHAnsi" w:hAnsiTheme="minorHAnsi" w:cstheme="minorHAnsi"/>
                <w:sz w:val="22"/>
                <w:szCs w:val="22"/>
                <w:lang w:eastAsia="en-US"/>
              </w:rPr>
              <w:t>utilisation data and access issues for a range of medicines that have been proposed for inclusion in the PBS Prescriber Bag</w:t>
            </w:r>
            <w:r>
              <w:rPr>
                <w:rFonts w:asciiTheme="minorHAnsi" w:eastAsiaTheme="minorHAnsi" w:hAnsiTheme="minorHAnsi" w:cstheme="minorHAnsi"/>
                <w:sz w:val="22"/>
                <w:szCs w:val="22"/>
                <w:lang w:eastAsia="en-US"/>
              </w:rPr>
              <w:t xml:space="preserve">, including: </w:t>
            </w:r>
          </w:p>
          <w:p w14:paraId="1B168555" w14:textId="77777777" w:rsidR="004F16B4" w:rsidRPr="008A0511" w:rsidRDefault="004F16B4" w:rsidP="008A0511">
            <w:pPr>
              <w:pStyle w:val="ListParagraph"/>
              <w:numPr>
                <w:ilvl w:val="0"/>
                <w:numId w:val="13"/>
              </w:numPr>
              <w:rPr>
                <w:rFonts w:asciiTheme="minorHAnsi" w:hAnsiTheme="minorHAnsi" w:cstheme="minorHAnsi"/>
                <w:sz w:val="22"/>
                <w:szCs w:val="22"/>
              </w:rPr>
            </w:pPr>
            <w:r w:rsidRPr="00977820">
              <w:rPr>
                <w:rFonts w:asciiTheme="minorHAnsi" w:hAnsiTheme="minorHAnsi" w:cstheme="minorHAnsi"/>
                <w:sz w:val="22"/>
                <w:szCs w:val="22"/>
              </w:rPr>
              <w:t>Levonorgestrel 1.5 mg tablet or levonorgestrel 0.75 mg tablets</w:t>
            </w:r>
          </w:p>
          <w:p w14:paraId="4A05BEBB" w14:textId="77777777" w:rsidR="004F16B4" w:rsidRPr="008A0511" w:rsidRDefault="004F16B4" w:rsidP="008A0511">
            <w:pPr>
              <w:pStyle w:val="ListParagraph"/>
              <w:numPr>
                <w:ilvl w:val="0"/>
                <w:numId w:val="13"/>
              </w:numPr>
              <w:rPr>
                <w:rFonts w:asciiTheme="minorHAnsi" w:hAnsiTheme="minorHAnsi" w:cstheme="minorHAnsi"/>
                <w:sz w:val="22"/>
                <w:szCs w:val="22"/>
              </w:rPr>
            </w:pPr>
            <w:r w:rsidRPr="00977820">
              <w:rPr>
                <w:rFonts w:asciiTheme="minorHAnsi" w:hAnsiTheme="minorHAnsi" w:cstheme="minorHAnsi"/>
                <w:sz w:val="22"/>
                <w:szCs w:val="22"/>
              </w:rPr>
              <w:t>Ulipristal tablet</w:t>
            </w:r>
          </w:p>
          <w:p w14:paraId="5972F641" w14:textId="77777777" w:rsidR="004F16B4" w:rsidRPr="008A0511" w:rsidRDefault="004F16B4" w:rsidP="008A0511">
            <w:pPr>
              <w:pStyle w:val="ListParagraph"/>
              <w:numPr>
                <w:ilvl w:val="0"/>
                <w:numId w:val="13"/>
              </w:numPr>
              <w:rPr>
                <w:rFonts w:asciiTheme="minorHAnsi" w:hAnsiTheme="minorHAnsi" w:cstheme="minorHAnsi"/>
                <w:sz w:val="22"/>
                <w:szCs w:val="22"/>
              </w:rPr>
            </w:pPr>
            <w:r w:rsidRPr="00977820">
              <w:rPr>
                <w:rFonts w:asciiTheme="minorHAnsi" w:hAnsiTheme="minorHAnsi" w:cstheme="minorHAnsi"/>
                <w:sz w:val="22"/>
                <w:szCs w:val="22"/>
              </w:rPr>
              <w:t>Mifepristone 200 mg tablet [1] (&amp;) misoprostol 200 microgram tablet [4], 1 pack</w:t>
            </w:r>
          </w:p>
          <w:p w14:paraId="2A5E1227" w14:textId="77777777" w:rsidR="004F16B4" w:rsidRPr="008A0511" w:rsidRDefault="004F16B4" w:rsidP="008A0511">
            <w:pPr>
              <w:pStyle w:val="ListParagraph"/>
              <w:numPr>
                <w:ilvl w:val="0"/>
                <w:numId w:val="13"/>
              </w:numPr>
              <w:rPr>
                <w:rFonts w:asciiTheme="minorHAnsi" w:hAnsiTheme="minorHAnsi" w:cstheme="minorHAnsi"/>
                <w:sz w:val="22"/>
                <w:szCs w:val="22"/>
              </w:rPr>
            </w:pPr>
            <w:r w:rsidRPr="00977820">
              <w:rPr>
                <w:rFonts w:asciiTheme="minorHAnsi" w:hAnsiTheme="minorHAnsi" w:cstheme="minorHAnsi"/>
                <w:sz w:val="22"/>
                <w:szCs w:val="22"/>
              </w:rPr>
              <w:t>Prednisolone oral liquid</w:t>
            </w:r>
          </w:p>
          <w:p w14:paraId="75EB2347" w14:textId="77777777" w:rsidR="004F16B4" w:rsidRDefault="004F16B4" w:rsidP="004F16B4">
            <w:pPr>
              <w:pStyle w:val="ListParagraph"/>
              <w:numPr>
                <w:ilvl w:val="0"/>
                <w:numId w:val="13"/>
              </w:numPr>
              <w:rPr>
                <w:rFonts w:asciiTheme="minorHAnsi" w:hAnsiTheme="minorHAnsi" w:cstheme="minorHAnsi"/>
                <w:sz w:val="22"/>
                <w:szCs w:val="22"/>
              </w:rPr>
            </w:pPr>
            <w:r w:rsidRPr="00977820">
              <w:rPr>
                <w:rFonts w:asciiTheme="minorHAnsi" w:hAnsiTheme="minorHAnsi" w:cstheme="minorHAnsi"/>
                <w:sz w:val="22"/>
                <w:szCs w:val="22"/>
              </w:rPr>
              <w:t>Corticosteroid tablets</w:t>
            </w:r>
          </w:p>
          <w:p w14:paraId="61B68A63" w14:textId="77777777" w:rsidR="004F16B4" w:rsidRPr="008A0511" w:rsidRDefault="004F16B4" w:rsidP="008A0511">
            <w:pPr>
              <w:pStyle w:val="ListParagraph"/>
              <w:ind w:left="360"/>
              <w:rPr>
                <w:rFonts w:asciiTheme="minorHAnsi" w:hAnsiTheme="minorHAnsi" w:cstheme="minorHAnsi"/>
                <w:sz w:val="22"/>
                <w:szCs w:val="22"/>
              </w:rPr>
            </w:pPr>
          </w:p>
          <w:p w14:paraId="7E97DF4A" w14:textId="622D079C" w:rsidR="004F16B4" w:rsidRPr="004F16B4" w:rsidRDefault="004F16B4" w:rsidP="004F16B4">
            <w:pPr>
              <w:rPr>
                <w:rFonts w:asciiTheme="minorHAnsi" w:eastAsiaTheme="minorHAnsi" w:hAnsiTheme="minorHAnsi" w:cstheme="minorHAnsi"/>
                <w:sz w:val="22"/>
                <w:szCs w:val="22"/>
                <w:lang w:eastAsia="en-US"/>
              </w:rPr>
            </w:pPr>
            <w:r w:rsidRPr="004F16B4">
              <w:rPr>
                <w:rFonts w:asciiTheme="minorHAnsi" w:eastAsiaTheme="minorHAnsi" w:hAnsiTheme="minorHAnsi" w:cstheme="minorHAnsi"/>
                <w:sz w:val="22"/>
                <w:szCs w:val="22"/>
                <w:lang w:eastAsia="en-US"/>
              </w:rPr>
              <w:t>For emergency contraception products (levonorgestrel and ulipristal), the PBAC noted increasing use over time but considered that these medicines are already readily available through community pharmacies and that their cost-effectiveness has not been evaluated through the PBS listing process. The PBAC also considered MS-2 Step (mifepristone and misoprostol) and acknowledged the potential benefits of immediate access for some vulnerable patients. However, the PBAC noted quality use of medicines, clinical governance, and equity considerations, and concluded that the potential risks outweighed the benefits of inclusion in the Prescriber Bag at this time.</w:t>
            </w:r>
          </w:p>
          <w:p w14:paraId="235E0555" w14:textId="77777777" w:rsidR="004F16B4" w:rsidRPr="004F16B4" w:rsidRDefault="004F16B4" w:rsidP="004F16B4">
            <w:pPr>
              <w:rPr>
                <w:rFonts w:asciiTheme="minorHAnsi" w:eastAsiaTheme="minorHAnsi" w:hAnsiTheme="minorHAnsi" w:cstheme="minorHAnsi"/>
                <w:sz w:val="22"/>
                <w:szCs w:val="22"/>
                <w:lang w:eastAsia="en-US"/>
              </w:rPr>
            </w:pPr>
          </w:p>
          <w:p w14:paraId="10E6D168" w14:textId="68FF53A3" w:rsidR="004F16B4" w:rsidRDefault="004F16B4" w:rsidP="004F16B4">
            <w:pPr>
              <w:rPr>
                <w:rFonts w:asciiTheme="minorHAnsi" w:eastAsiaTheme="minorHAnsi" w:hAnsiTheme="minorHAnsi" w:cstheme="minorHAnsi"/>
                <w:sz w:val="22"/>
                <w:szCs w:val="22"/>
                <w:lang w:eastAsia="en-US"/>
              </w:rPr>
            </w:pPr>
            <w:r w:rsidRPr="004F16B4">
              <w:rPr>
                <w:rFonts w:asciiTheme="minorHAnsi" w:eastAsiaTheme="minorHAnsi" w:hAnsiTheme="minorHAnsi" w:cstheme="minorHAnsi"/>
                <w:sz w:val="22"/>
                <w:szCs w:val="22"/>
                <w:lang w:eastAsia="en-US"/>
              </w:rPr>
              <w:t>The PBAC considered prednisolone oral liquid and prednisone/prednisolone tablets and recognised the potential benefits of timely access to corticosteroid treatment for a range of acute conditions. The PBAC deferred making a recommendation for inclusion in the Prescriber Bag pending further work being undertaken by the Department in relation to Medicare Urgent Care Clinics, with the matter to be brought back to a future meeting.</w:t>
            </w:r>
          </w:p>
          <w:p w14:paraId="628E26B6" w14:textId="4EC25940" w:rsidR="004F16B4" w:rsidRDefault="004F16B4" w:rsidP="004B0FDD">
            <w:pPr>
              <w:rPr>
                <w:rFonts w:asciiTheme="minorHAnsi" w:eastAsiaTheme="minorHAnsi" w:hAnsiTheme="minorHAnsi" w:cstheme="minorHAnsi"/>
                <w:sz w:val="22"/>
                <w:szCs w:val="22"/>
                <w:lang w:eastAsia="en-US"/>
              </w:rPr>
            </w:pPr>
            <w:r w:rsidRPr="004F16B4">
              <w:rPr>
                <w:rFonts w:asciiTheme="minorHAnsi" w:eastAsiaTheme="minorHAnsi" w:hAnsiTheme="minorHAnsi" w:cstheme="minorHAnsi"/>
                <w:sz w:val="22"/>
                <w:szCs w:val="22"/>
                <w:lang w:eastAsia="en-US"/>
              </w:rPr>
              <w:lastRenderedPageBreak/>
              <w:t>The PBAC also noted that no sponsors had expressed interest in seeking PBS listing for oxytocin or oxytocin with ergometrine products and, while acknowledging their clinical importance, was unable to recommend their inclusion in the Prescriber Bag at this time.</w:t>
            </w:r>
          </w:p>
          <w:p w14:paraId="51781C85" w14:textId="77777777" w:rsidR="00637327" w:rsidRPr="000A20DC" w:rsidRDefault="00637327" w:rsidP="004B0FDD">
            <w:pPr>
              <w:rPr>
                <w:rFonts w:asciiTheme="minorHAnsi" w:eastAsiaTheme="minorHAnsi" w:hAnsiTheme="minorHAnsi" w:cstheme="minorHAnsi"/>
                <w:sz w:val="22"/>
                <w:szCs w:val="22"/>
                <w:lang w:eastAsia="en-US"/>
              </w:rPr>
            </w:pPr>
          </w:p>
          <w:p w14:paraId="3B9BBD30" w14:textId="77777777" w:rsidR="00D3413A" w:rsidRPr="000A20DC" w:rsidRDefault="00D3413A" w:rsidP="00D3413A">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 xml:space="preserve">Next steps </w:t>
            </w:r>
          </w:p>
          <w:p w14:paraId="4150200A" w14:textId="272E5963" w:rsidR="004B0FDD" w:rsidRPr="000A20DC" w:rsidRDefault="003D6800" w:rsidP="0018211E">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The Department will undertake the following actions:</w:t>
            </w:r>
          </w:p>
          <w:p w14:paraId="183D75AE" w14:textId="5D773D25" w:rsidR="003D6800" w:rsidRPr="008A0511" w:rsidRDefault="003D6800" w:rsidP="00977820">
            <w:pPr>
              <w:pStyle w:val="ListParagraph"/>
              <w:numPr>
                <w:ilvl w:val="0"/>
                <w:numId w:val="13"/>
              </w:numPr>
              <w:rPr>
                <w:rFonts w:cstheme="minorHAnsi"/>
                <w:sz w:val="22"/>
              </w:rPr>
            </w:pPr>
            <w:r w:rsidRPr="00977820">
              <w:rPr>
                <w:rFonts w:asciiTheme="minorHAnsi" w:hAnsiTheme="minorHAnsi" w:cstheme="minorHAnsi"/>
                <w:sz w:val="22"/>
                <w:szCs w:val="22"/>
              </w:rPr>
              <w:t>Seek input from expert groups on the need for naloxone nasal spray to be in the Prescriber Bag</w:t>
            </w:r>
            <w:r w:rsidR="0028047D">
              <w:rPr>
                <w:rFonts w:asciiTheme="minorHAnsi" w:hAnsiTheme="minorHAnsi" w:cstheme="minorHAnsi"/>
                <w:sz w:val="22"/>
                <w:szCs w:val="22"/>
              </w:rPr>
              <w:t>, for future PBAC consideration</w:t>
            </w:r>
            <w:r w:rsidRPr="00977820">
              <w:rPr>
                <w:rFonts w:asciiTheme="minorHAnsi" w:hAnsiTheme="minorHAnsi" w:cstheme="minorHAnsi"/>
                <w:sz w:val="22"/>
                <w:szCs w:val="22"/>
              </w:rPr>
              <w:t>.</w:t>
            </w:r>
          </w:p>
          <w:p w14:paraId="60B5B40D" w14:textId="54B8B213" w:rsidR="003D6800" w:rsidRPr="00977820" w:rsidRDefault="003D6800" w:rsidP="00A2609D">
            <w:pPr>
              <w:pStyle w:val="ListParagraph"/>
              <w:numPr>
                <w:ilvl w:val="0"/>
                <w:numId w:val="13"/>
              </w:numPr>
              <w:rPr>
                <w:rFonts w:asciiTheme="minorHAnsi" w:hAnsiTheme="minorHAnsi" w:cstheme="minorHAnsi"/>
                <w:sz w:val="22"/>
                <w:szCs w:val="22"/>
              </w:rPr>
            </w:pPr>
            <w:r w:rsidRPr="00977820">
              <w:rPr>
                <w:rFonts w:asciiTheme="minorHAnsi" w:hAnsiTheme="minorHAnsi" w:cstheme="minorHAnsi"/>
                <w:sz w:val="22"/>
                <w:szCs w:val="22"/>
              </w:rPr>
              <w:t>Continue working on the establishment of a palliative care listing for midazolam.</w:t>
            </w:r>
          </w:p>
        </w:tc>
        <w:tc>
          <w:tcPr>
            <w:tcW w:w="2873" w:type="dxa"/>
            <w:tcBorders>
              <w:top w:val="single" w:sz="4" w:space="0" w:color="auto"/>
              <w:left w:val="single" w:sz="4" w:space="0" w:color="auto"/>
              <w:bottom w:val="single" w:sz="4" w:space="0" w:color="auto"/>
              <w:right w:val="single" w:sz="4" w:space="0" w:color="auto"/>
            </w:tcBorders>
            <w:hideMark/>
          </w:tcPr>
          <w:p w14:paraId="35C939DB" w14:textId="77777777" w:rsidR="00D3413A" w:rsidRPr="000A20DC" w:rsidRDefault="00D3413A" w:rsidP="00D3413A">
            <w:pPr>
              <w:numPr>
                <w:ilvl w:val="0"/>
                <w:numId w:val="25"/>
              </w:numPr>
              <w:rPr>
                <w:rFonts w:asciiTheme="minorHAnsi" w:eastAsiaTheme="minorHAnsi" w:hAnsiTheme="minorHAnsi" w:cstheme="minorHAnsi"/>
                <w:color w:val="FF0000"/>
                <w:sz w:val="22"/>
                <w:szCs w:val="22"/>
                <w:lang w:eastAsia="en-US"/>
              </w:rPr>
            </w:pPr>
            <w:r w:rsidRPr="000A20DC">
              <w:rPr>
                <w:rFonts w:asciiTheme="minorHAnsi" w:eastAsiaTheme="minorHAnsi" w:hAnsiTheme="minorHAnsi" w:cstheme="minorHAnsi"/>
                <w:sz w:val="22"/>
                <w:szCs w:val="22"/>
                <w:lang w:eastAsia="en-US"/>
              </w:rPr>
              <w:lastRenderedPageBreak/>
              <w:t xml:space="preserve">Medicines listed on the PBS Prescriber Bag Schedule </w:t>
            </w:r>
          </w:p>
        </w:tc>
      </w:tr>
      <w:tr w:rsidR="00EC1BEF" w:rsidRPr="000A20DC" w14:paraId="4CCAC712" w14:textId="77777777" w:rsidTr="00A2609D">
        <w:trPr>
          <w:trHeight w:val="300"/>
        </w:trPr>
        <w:tc>
          <w:tcPr>
            <w:tcW w:w="2542" w:type="dxa"/>
            <w:tcBorders>
              <w:top w:val="single" w:sz="4" w:space="0" w:color="auto"/>
              <w:left w:val="single" w:sz="4" w:space="0" w:color="auto"/>
              <w:bottom w:val="single" w:sz="4" w:space="0" w:color="auto"/>
              <w:right w:val="single" w:sz="4" w:space="0" w:color="auto"/>
            </w:tcBorders>
          </w:tcPr>
          <w:p w14:paraId="7B76B215" w14:textId="468171D0" w:rsidR="00EC1BEF" w:rsidRPr="000A20DC" w:rsidRDefault="00EC1BEF" w:rsidP="008A0511">
            <w:pPr>
              <w:rPr>
                <w:rFonts w:asciiTheme="minorHAnsi" w:eastAsiaTheme="minorHAnsi" w:hAnsiTheme="minorHAnsi" w:cstheme="minorHAnsi"/>
                <w:color w:val="FF0000"/>
                <w:sz w:val="22"/>
                <w:szCs w:val="22"/>
                <w:lang w:eastAsia="en-US"/>
              </w:rPr>
            </w:pPr>
            <w:r w:rsidRPr="000A20DC">
              <w:rPr>
                <w:rFonts w:asciiTheme="minorHAnsi" w:eastAsiaTheme="minorHAnsi" w:hAnsiTheme="minorHAnsi" w:cstheme="minorHAnsi"/>
                <w:bCs/>
                <w:sz w:val="22"/>
                <w:szCs w:val="22"/>
                <w:lang w:eastAsia="en-US"/>
              </w:rPr>
              <w:lastRenderedPageBreak/>
              <w:t>Attention Deficit Hyperactivity Disorder (ADHD)</w:t>
            </w:r>
          </w:p>
        </w:tc>
        <w:tc>
          <w:tcPr>
            <w:tcW w:w="8745" w:type="dxa"/>
            <w:tcBorders>
              <w:top w:val="single" w:sz="4" w:space="0" w:color="auto"/>
              <w:left w:val="single" w:sz="4" w:space="0" w:color="auto"/>
              <w:bottom w:val="single" w:sz="4" w:space="0" w:color="auto"/>
              <w:right w:val="single" w:sz="4" w:space="0" w:color="auto"/>
            </w:tcBorders>
          </w:tcPr>
          <w:p w14:paraId="0CCA01AD" w14:textId="77777777" w:rsidR="00EC1BEF" w:rsidRPr="000A20DC" w:rsidRDefault="00EC1BEF" w:rsidP="008A0511">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 xml:space="preserve">Attention Deficit Hyperactivity Disorder (ADHD) medicine review </w:t>
            </w:r>
          </w:p>
          <w:p w14:paraId="33860C25" w14:textId="77777777" w:rsidR="004C1521" w:rsidRPr="000A20DC" w:rsidRDefault="004C1521" w:rsidP="008A0511">
            <w:pPr>
              <w:rPr>
                <w:rFonts w:asciiTheme="minorHAnsi" w:eastAsiaTheme="minorHAnsi" w:hAnsiTheme="minorHAnsi" w:cstheme="minorHAnsi"/>
                <w:b/>
                <w:bCs/>
                <w:sz w:val="22"/>
                <w:szCs w:val="22"/>
                <w:lang w:eastAsia="en-US"/>
              </w:rPr>
            </w:pPr>
          </w:p>
          <w:p w14:paraId="6788B86C" w14:textId="4BAED263" w:rsidR="00EC1BEF" w:rsidRPr="000A20DC" w:rsidRDefault="00EC1BEF" w:rsidP="008A0511">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Background</w:t>
            </w:r>
          </w:p>
          <w:p w14:paraId="13F2FFA1" w14:textId="1AA27492" w:rsidR="00EC1BEF" w:rsidRPr="000A20DC" w:rsidRDefault="0018211E" w:rsidP="008A0511">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At its September 2025 intracycle meeting, the PBAC provided advice on a review proposed in Recommendation 4 of the report from the </w:t>
            </w:r>
            <w:hyperlink r:id="rId20" w:history="1">
              <w:r w:rsidRPr="000A20DC">
                <w:rPr>
                  <w:rStyle w:val="Hyperlink"/>
                  <w:rFonts w:asciiTheme="minorHAnsi" w:eastAsiaTheme="minorHAnsi" w:hAnsiTheme="minorHAnsi" w:cstheme="minorHAnsi"/>
                  <w:color w:val="auto"/>
                  <w:sz w:val="22"/>
                  <w:szCs w:val="22"/>
                  <w:lang w:eastAsia="en-US"/>
                </w:rPr>
                <w:t>2023 Senate Community Affairs References Committee</w:t>
              </w:r>
            </w:hyperlink>
            <w:r w:rsidRPr="000A20DC">
              <w:rPr>
                <w:rFonts w:asciiTheme="minorHAnsi" w:eastAsiaTheme="minorHAnsi" w:hAnsiTheme="minorHAnsi" w:cstheme="minorHAnsi"/>
                <w:sz w:val="22"/>
                <w:szCs w:val="22"/>
                <w:lang w:eastAsia="en-US"/>
              </w:rPr>
              <w:t xml:space="preserve"> (the Senate Inquiry report) on PBS subsidy arrangements for attention deficit hyperactivity disorder (ADHD) medicines.</w:t>
            </w:r>
          </w:p>
          <w:p w14:paraId="23430110" w14:textId="77777777" w:rsidR="004C1521" w:rsidRPr="000A20DC" w:rsidRDefault="004C1521" w:rsidP="008A0511">
            <w:pPr>
              <w:rPr>
                <w:rFonts w:asciiTheme="minorHAnsi" w:eastAsiaTheme="minorHAnsi" w:hAnsiTheme="minorHAnsi" w:cstheme="minorHAnsi"/>
                <w:sz w:val="22"/>
                <w:szCs w:val="22"/>
                <w:lang w:eastAsia="en-US"/>
              </w:rPr>
            </w:pPr>
          </w:p>
          <w:p w14:paraId="4AE250DE" w14:textId="5E33EDD9" w:rsidR="00EC1BEF" w:rsidRPr="000A20DC" w:rsidRDefault="00EC1BEF" w:rsidP="008A0511">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Status</w:t>
            </w:r>
          </w:p>
          <w:p w14:paraId="6EF47B38" w14:textId="506BC9C9" w:rsidR="00416C47" w:rsidRPr="000A20DC" w:rsidRDefault="0018211E" w:rsidP="008A0511">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In September 2025, t</w:t>
            </w:r>
            <w:r w:rsidR="003640A0" w:rsidRPr="000A20DC">
              <w:rPr>
                <w:rFonts w:asciiTheme="minorHAnsi" w:eastAsiaTheme="minorHAnsi" w:hAnsiTheme="minorHAnsi" w:cstheme="minorHAnsi"/>
                <w:sz w:val="22"/>
                <w:szCs w:val="22"/>
                <w:lang w:eastAsia="en-US"/>
              </w:rPr>
              <w:t>he PBAC noted the Government’s in-</w:t>
            </w:r>
            <w:proofErr w:type="gramStart"/>
            <w:r w:rsidR="003640A0" w:rsidRPr="000A20DC">
              <w:rPr>
                <w:rFonts w:asciiTheme="minorHAnsi" w:eastAsiaTheme="minorHAnsi" w:hAnsiTheme="minorHAnsi" w:cstheme="minorHAnsi"/>
                <w:sz w:val="22"/>
                <w:szCs w:val="22"/>
                <w:lang w:eastAsia="en-US"/>
              </w:rPr>
              <w:t>principle</w:t>
            </w:r>
            <w:proofErr w:type="gramEnd"/>
            <w:r w:rsidR="003640A0" w:rsidRPr="000A20DC">
              <w:rPr>
                <w:rFonts w:asciiTheme="minorHAnsi" w:eastAsiaTheme="minorHAnsi" w:hAnsiTheme="minorHAnsi" w:cstheme="minorHAnsi"/>
                <w:sz w:val="22"/>
                <w:szCs w:val="22"/>
                <w:lang w:eastAsia="en-US"/>
              </w:rPr>
              <w:t xml:space="preserve"> support for a review of PBS</w:t>
            </w:r>
            <w:r w:rsidRPr="000A20DC">
              <w:rPr>
                <w:rFonts w:asciiTheme="minorHAnsi" w:eastAsiaTheme="minorHAnsi" w:hAnsiTheme="minorHAnsi" w:cstheme="minorHAnsi"/>
                <w:sz w:val="22"/>
                <w:szCs w:val="22"/>
                <w:lang w:eastAsia="en-US"/>
              </w:rPr>
              <w:noBreakHyphen/>
            </w:r>
            <w:r w:rsidR="003640A0" w:rsidRPr="000A20DC">
              <w:rPr>
                <w:rFonts w:asciiTheme="minorHAnsi" w:eastAsiaTheme="minorHAnsi" w:hAnsiTheme="minorHAnsi" w:cstheme="minorHAnsi"/>
                <w:sz w:val="22"/>
                <w:szCs w:val="22"/>
                <w:lang w:eastAsia="en-US"/>
              </w:rPr>
              <w:t xml:space="preserve">listed ADHD medicines and considered the five action areas that had been raised by the Senate Inquiry report. The PBAC considered that a formal Post-market Review was not necessary to inform its future consideration of changes to PBS restrictions to improve access to subsidised ADHD medicines. The PBAC requested the Department to undertake a research project consistent with the Post-market Review framework to propose revised PBS restrictions in response to the action areas, as well as estimate changes in drug utilisation and financial implications. The PBAC requested that this work be undertaken as a priority for consideration at a future PBAC meeting. The PBAC requested that the Department consult with the Royal Australian and New Zealand College of Psychiatrists (RANZCP) and other relevant groups prior to PBAC’s consideration of any proposed changes to PBS listings. </w:t>
            </w:r>
            <w:r w:rsidR="00D228E8" w:rsidRPr="000A20DC">
              <w:rPr>
                <w:rFonts w:asciiTheme="minorHAnsi" w:eastAsiaTheme="minorHAnsi" w:hAnsiTheme="minorHAnsi" w:cstheme="minorHAnsi"/>
                <w:sz w:val="22"/>
                <w:szCs w:val="22"/>
                <w:lang w:eastAsia="en-US"/>
              </w:rPr>
              <w:t>For further information, refer to the</w:t>
            </w:r>
            <w:r w:rsidR="00416C47" w:rsidRPr="000A20DC">
              <w:rPr>
                <w:rFonts w:asciiTheme="minorHAnsi" w:eastAsiaTheme="minorHAnsi" w:hAnsiTheme="minorHAnsi" w:cstheme="minorHAnsi"/>
                <w:sz w:val="22"/>
                <w:szCs w:val="22"/>
                <w:lang w:eastAsia="en-US"/>
              </w:rPr>
              <w:t xml:space="preserve"> </w:t>
            </w:r>
            <w:hyperlink r:id="rId21" w:history="1">
              <w:r w:rsidR="00416C47" w:rsidRPr="000A20DC">
                <w:rPr>
                  <w:rStyle w:val="Hyperlink"/>
                  <w:rFonts w:asciiTheme="minorHAnsi" w:eastAsiaTheme="minorHAnsi" w:hAnsiTheme="minorHAnsi" w:cstheme="minorHAnsi"/>
                  <w:color w:val="auto"/>
                  <w:sz w:val="22"/>
                  <w:szCs w:val="22"/>
                  <w:lang w:eastAsia="en-US"/>
                </w:rPr>
                <w:t>September 2025 PBAC Outcomes</w:t>
              </w:r>
            </w:hyperlink>
            <w:r w:rsidR="00416C47" w:rsidRPr="000A20DC">
              <w:rPr>
                <w:rFonts w:asciiTheme="minorHAnsi" w:eastAsiaTheme="minorHAnsi" w:hAnsiTheme="minorHAnsi" w:cstheme="minorHAnsi"/>
                <w:sz w:val="22"/>
                <w:szCs w:val="22"/>
                <w:lang w:eastAsia="en-US"/>
              </w:rPr>
              <w:t>.</w:t>
            </w:r>
          </w:p>
          <w:p w14:paraId="0A6EA949" w14:textId="77777777" w:rsidR="00D228E8" w:rsidRPr="000A20DC" w:rsidRDefault="00D228E8" w:rsidP="008A0511">
            <w:pPr>
              <w:rPr>
                <w:rFonts w:asciiTheme="minorHAnsi" w:eastAsiaTheme="minorHAnsi" w:hAnsiTheme="minorHAnsi" w:cstheme="minorHAnsi"/>
                <w:sz w:val="22"/>
                <w:szCs w:val="22"/>
                <w:lang w:eastAsia="en-US"/>
              </w:rPr>
            </w:pPr>
          </w:p>
          <w:p w14:paraId="673D15BE" w14:textId="0472DD9C" w:rsidR="00EC1BEF" w:rsidRPr="000A20DC" w:rsidRDefault="00EC1BEF" w:rsidP="008A0511">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Next steps</w:t>
            </w:r>
          </w:p>
          <w:p w14:paraId="139AC57F" w14:textId="2262912F" w:rsidR="00D228E8" w:rsidRPr="000A20DC" w:rsidRDefault="007D40C3" w:rsidP="008A0511">
            <w:pPr>
              <w:rPr>
                <w:rFonts w:asciiTheme="minorHAnsi" w:eastAsiaTheme="minorHAnsi" w:hAnsiTheme="minorHAnsi" w:cstheme="minorHAnsi"/>
                <w:color w:val="FF0000"/>
                <w:sz w:val="22"/>
                <w:szCs w:val="22"/>
                <w:lang w:eastAsia="en-US"/>
              </w:rPr>
            </w:pPr>
            <w:r w:rsidRPr="000A20DC">
              <w:rPr>
                <w:rFonts w:asciiTheme="minorHAnsi" w:eastAsiaTheme="minorHAnsi" w:hAnsiTheme="minorHAnsi" w:cstheme="minorHAnsi"/>
                <w:bCs/>
                <w:sz w:val="22"/>
                <w:szCs w:val="22"/>
                <w:lang w:eastAsia="en-US"/>
              </w:rPr>
              <w:t xml:space="preserve">The Department </w:t>
            </w:r>
            <w:r w:rsidR="00587511">
              <w:rPr>
                <w:rFonts w:asciiTheme="minorHAnsi" w:eastAsiaTheme="minorHAnsi" w:hAnsiTheme="minorHAnsi" w:cstheme="minorHAnsi"/>
                <w:bCs/>
                <w:sz w:val="22"/>
                <w:szCs w:val="22"/>
                <w:lang w:eastAsia="en-US"/>
              </w:rPr>
              <w:t>is undertaking a project</w:t>
            </w:r>
            <w:r w:rsidRPr="000A20DC">
              <w:rPr>
                <w:rFonts w:asciiTheme="minorHAnsi" w:eastAsiaTheme="minorHAnsi" w:hAnsiTheme="minorHAnsi" w:cstheme="minorHAnsi"/>
                <w:bCs/>
                <w:sz w:val="22"/>
                <w:szCs w:val="22"/>
                <w:lang w:eastAsia="en-US"/>
              </w:rPr>
              <w:t xml:space="preserve"> to revise the PBS restrictions in response to the action areas, as well as estimate changes in drug utilisation and financial implications. This work will </w:t>
            </w:r>
            <w:r w:rsidRPr="000A20DC">
              <w:rPr>
                <w:rFonts w:asciiTheme="minorHAnsi" w:eastAsiaTheme="minorHAnsi" w:hAnsiTheme="minorHAnsi" w:cstheme="minorHAnsi"/>
                <w:bCs/>
                <w:sz w:val="22"/>
                <w:szCs w:val="22"/>
                <w:lang w:eastAsia="en-US"/>
              </w:rPr>
              <w:lastRenderedPageBreak/>
              <w:t xml:space="preserve">be delivered in two tranches. Tranche 1 </w:t>
            </w:r>
            <w:r w:rsidR="00BD6507">
              <w:rPr>
                <w:rFonts w:asciiTheme="minorHAnsi" w:eastAsiaTheme="minorHAnsi" w:hAnsiTheme="minorHAnsi" w:cstheme="minorHAnsi"/>
                <w:bCs/>
                <w:sz w:val="22"/>
                <w:szCs w:val="22"/>
                <w:lang w:eastAsia="en-US"/>
              </w:rPr>
              <w:t>was</w:t>
            </w:r>
            <w:r w:rsidRPr="000A20DC">
              <w:rPr>
                <w:rFonts w:asciiTheme="minorHAnsi" w:eastAsiaTheme="minorHAnsi" w:hAnsiTheme="minorHAnsi" w:cstheme="minorHAnsi"/>
                <w:bCs/>
                <w:sz w:val="22"/>
                <w:szCs w:val="22"/>
                <w:lang w:eastAsia="en-US"/>
              </w:rPr>
              <w:t xml:space="preserve"> considered by DUSC in June 2026 and </w:t>
            </w:r>
            <w:r w:rsidR="00BD6507">
              <w:rPr>
                <w:rFonts w:asciiTheme="minorHAnsi" w:eastAsiaTheme="minorHAnsi" w:hAnsiTheme="minorHAnsi" w:cstheme="minorHAnsi"/>
                <w:bCs/>
                <w:sz w:val="22"/>
                <w:szCs w:val="22"/>
                <w:lang w:eastAsia="en-US"/>
              </w:rPr>
              <w:t>is expected to be considered</w:t>
            </w:r>
            <w:r w:rsidRPr="000A20DC">
              <w:rPr>
                <w:rFonts w:asciiTheme="minorHAnsi" w:eastAsiaTheme="minorHAnsi" w:hAnsiTheme="minorHAnsi" w:cstheme="minorHAnsi"/>
                <w:bCs/>
                <w:sz w:val="22"/>
                <w:szCs w:val="22"/>
                <w:lang w:eastAsia="en-US"/>
              </w:rPr>
              <w:t xml:space="preserve"> by the PBAC in </w:t>
            </w:r>
            <w:r w:rsidR="00BD6507">
              <w:rPr>
                <w:rFonts w:asciiTheme="minorHAnsi" w:eastAsiaTheme="minorHAnsi" w:hAnsiTheme="minorHAnsi" w:cstheme="minorHAnsi"/>
                <w:bCs/>
                <w:sz w:val="22"/>
                <w:szCs w:val="22"/>
                <w:lang w:eastAsia="en-US"/>
              </w:rPr>
              <w:t>September</w:t>
            </w:r>
            <w:r w:rsidRPr="000A20DC">
              <w:rPr>
                <w:rFonts w:asciiTheme="minorHAnsi" w:eastAsiaTheme="minorHAnsi" w:hAnsiTheme="minorHAnsi" w:cstheme="minorHAnsi"/>
                <w:bCs/>
                <w:sz w:val="22"/>
                <w:szCs w:val="22"/>
                <w:lang w:eastAsia="en-US"/>
              </w:rPr>
              <w:t xml:space="preserve"> 2026. Tranche 2 will be progressed and considered later in 2026. The Department will consult with RANZCP and relevant stakeholders prior to DUSC and PBAC’s consideration of any proposed changes to PBS listings.</w:t>
            </w:r>
          </w:p>
        </w:tc>
        <w:tc>
          <w:tcPr>
            <w:tcW w:w="2873" w:type="dxa"/>
            <w:tcBorders>
              <w:top w:val="single" w:sz="4" w:space="0" w:color="auto"/>
              <w:left w:val="single" w:sz="4" w:space="0" w:color="auto"/>
              <w:bottom w:val="single" w:sz="4" w:space="0" w:color="auto"/>
              <w:right w:val="single" w:sz="4" w:space="0" w:color="auto"/>
            </w:tcBorders>
          </w:tcPr>
          <w:p w14:paraId="339741F9" w14:textId="78ECA483" w:rsidR="00EC1BEF" w:rsidRPr="000A20DC" w:rsidRDefault="00DB5C99" w:rsidP="008A0511">
            <w:pPr>
              <w:numPr>
                <w:ilvl w:val="0"/>
                <w:numId w:val="25"/>
              </w:numPr>
              <w:rPr>
                <w:rFonts w:asciiTheme="minorHAnsi" w:eastAsiaTheme="minorHAnsi" w:hAnsiTheme="minorHAnsi" w:cstheme="minorHAnsi"/>
                <w:color w:val="FF0000"/>
                <w:sz w:val="22"/>
                <w:szCs w:val="22"/>
                <w:lang w:eastAsia="en-US"/>
              </w:rPr>
            </w:pPr>
            <w:r w:rsidRPr="000A20DC">
              <w:rPr>
                <w:rFonts w:asciiTheme="minorHAnsi" w:eastAsiaTheme="minorHAnsi" w:hAnsiTheme="minorHAnsi" w:cstheme="minorHAnsi"/>
                <w:sz w:val="22"/>
                <w:szCs w:val="22"/>
                <w:lang w:eastAsia="en-US"/>
              </w:rPr>
              <w:lastRenderedPageBreak/>
              <w:t>PBS-listed medicines indicated for</w:t>
            </w:r>
            <w:r w:rsidRPr="000A20DC">
              <w:rPr>
                <w:rFonts w:asciiTheme="minorHAnsi" w:hAnsiTheme="minorHAnsi" w:cstheme="minorHAnsi"/>
                <w:sz w:val="22"/>
                <w:szCs w:val="22"/>
              </w:rPr>
              <w:t xml:space="preserve"> </w:t>
            </w:r>
            <w:r w:rsidRPr="000A20DC">
              <w:rPr>
                <w:rFonts w:asciiTheme="minorHAnsi" w:eastAsiaTheme="minorHAnsi" w:hAnsiTheme="minorHAnsi" w:cstheme="minorHAnsi"/>
                <w:sz w:val="22"/>
                <w:szCs w:val="22"/>
                <w:lang w:eastAsia="en-US"/>
              </w:rPr>
              <w:t xml:space="preserve">attention deficit hyperactivity disorder </w:t>
            </w:r>
          </w:p>
        </w:tc>
      </w:tr>
      <w:tr w:rsidR="00CD21CA" w:rsidRPr="000A20DC" w14:paraId="2CD04E09" w14:textId="77777777" w:rsidTr="61D5D7E7">
        <w:trPr>
          <w:trHeight w:val="300"/>
        </w:trPr>
        <w:tc>
          <w:tcPr>
            <w:tcW w:w="2542" w:type="dxa"/>
            <w:tcBorders>
              <w:top w:val="single" w:sz="4" w:space="0" w:color="auto"/>
              <w:left w:val="single" w:sz="4" w:space="0" w:color="auto"/>
              <w:bottom w:val="single" w:sz="4" w:space="0" w:color="auto"/>
              <w:right w:val="single" w:sz="4" w:space="0" w:color="auto"/>
            </w:tcBorders>
          </w:tcPr>
          <w:p w14:paraId="36C53AF4" w14:textId="7E0BA9E8" w:rsidR="00CD21CA" w:rsidRPr="000A20DC" w:rsidRDefault="00CD21CA" w:rsidP="008A0511">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Various</w:t>
            </w:r>
          </w:p>
        </w:tc>
        <w:tc>
          <w:tcPr>
            <w:tcW w:w="8745" w:type="dxa"/>
            <w:tcBorders>
              <w:top w:val="single" w:sz="4" w:space="0" w:color="auto"/>
              <w:left w:val="single" w:sz="4" w:space="0" w:color="auto"/>
              <w:bottom w:val="single" w:sz="4" w:space="0" w:color="auto"/>
              <w:right w:val="single" w:sz="4" w:space="0" w:color="auto"/>
            </w:tcBorders>
          </w:tcPr>
          <w:p w14:paraId="2404B02A" w14:textId="77777777" w:rsidR="00CD21CA" w:rsidRPr="000A20DC" w:rsidRDefault="00CD21CA" w:rsidP="008A0511">
            <w:pPr>
              <w:rPr>
                <w:rFonts w:asciiTheme="minorHAnsi" w:eastAsiaTheme="minorHAnsi" w:hAnsiTheme="minorHAnsi" w:cstheme="minorHAnsi"/>
                <w:b/>
                <w:bCs/>
                <w:sz w:val="22"/>
                <w:szCs w:val="22"/>
                <w:lang w:eastAsia="en-US"/>
              </w:rPr>
            </w:pPr>
            <w:r w:rsidRPr="00977820">
              <w:rPr>
                <w:rFonts w:asciiTheme="minorHAnsi" w:eastAsiaTheme="minorHAnsi" w:hAnsiTheme="minorHAnsi" w:cstheme="minorHAnsi"/>
                <w:b/>
                <w:bCs/>
                <w:sz w:val="22"/>
                <w:szCs w:val="22"/>
                <w:lang w:eastAsia="en-US"/>
              </w:rPr>
              <w:t>Medicines used off-label or outside PBS arrangements by Aboriginal Community Controlled Health Organisations</w:t>
            </w:r>
          </w:p>
          <w:p w14:paraId="1FDCB893" w14:textId="77777777" w:rsidR="00CD21CA" w:rsidRPr="000A20DC" w:rsidRDefault="00CD21CA" w:rsidP="008A0511">
            <w:pPr>
              <w:rPr>
                <w:rFonts w:asciiTheme="minorHAnsi" w:eastAsiaTheme="minorHAnsi" w:hAnsiTheme="minorHAnsi" w:cstheme="minorHAnsi"/>
                <w:b/>
                <w:bCs/>
                <w:sz w:val="22"/>
                <w:szCs w:val="22"/>
                <w:lang w:eastAsia="en-US"/>
              </w:rPr>
            </w:pPr>
          </w:p>
          <w:p w14:paraId="0F2FEB2F" w14:textId="77777777" w:rsidR="00CD21CA" w:rsidRPr="000A20DC" w:rsidRDefault="00CD21CA" w:rsidP="008A0511">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Background</w:t>
            </w:r>
          </w:p>
          <w:p w14:paraId="0E40602F" w14:textId="77777777" w:rsidR="00FA16C2" w:rsidRPr="00977820" w:rsidRDefault="00FA16C2" w:rsidP="008A0511">
            <w:p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At its September 2025 intracycle meeting, the PBAC considered a paper on opportunities for</w:t>
            </w:r>
          </w:p>
          <w:p w14:paraId="29A3D143" w14:textId="77777777" w:rsidR="00645409" w:rsidRDefault="00645409">
            <w:pPr>
              <w:rPr>
                <w:kern w:val="2"/>
                <w:szCs w:val="24"/>
                <w14:ligatures w14:val="standardContextual"/>
              </w:rPr>
            </w:pPr>
            <w:r>
              <w:rPr>
                <w:rFonts w:ascii="Calibri" w:hAnsi="Calibri" w:cs="Calibri"/>
                <w:sz w:val="22"/>
                <w:szCs w:val="22"/>
              </w:rPr>
              <w:t>subsidy of medicines on the Pharmaceutical Benefits Scheme (PBS) for off-label indications. The PBAC recognised that the National Aboriginal Community Controlled Health Organisation (NACCHO) had identified several medicines commonly used by First Nations people that are either prescribed off-label or through private (non-PBS) prescriptions. The PBAC considered that the medicines identified by NACCHO should be prioritised for future consideration by the Committee to allow First Nations people to receive benefits of PBS subsidy and the Closing the Gap program. At its December 2025 meeting, the PBAC advised that further work would be required to determine the suitability of expanding subsidised access for the medicines listed below.</w:t>
            </w:r>
          </w:p>
          <w:p w14:paraId="4667639D" w14:textId="77777777" w:rsidR="00FA16C2" w:rsidRPr="000A20DC" w:rsidRDefault="00FA16C2" w:rsidP="008A0511">
            <w:pPr>
              <w:rPr>
                <w:rFonts w:asciiTheme="minorHAnsi" w:eastAsiaTheme="minorHAnsi" w:hAnsiTheme="minorHAnsi" w:cstheme="minorHAnsi"/>
                <w:sz w:val="22"/>
                <w:szCs w:val="22"/>
                <w:lang w:eastAsia="en-US"/>
              </w:rPr>
            </w:pPr>
          </w:p>
          <w:p w14:paraId="54FC374E" w14:textId="77DED282"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Ondansetron for hyperemesis gravidarum and nausea/vomiting in</w:t>
            </w:r>
            <w:r w:rsidRPr="000A20DC">
              <w:rPr>
                <w:rFonts w:asciiTheme="minorHAnsi" w:eastAsiaTheme="minorHAnsi" w:hAnsiTheme="minorHAnsi" w:cstheme="minorHAnsi"/>
                <w:sz w:val="22"/>
                <w:szCs w:val="22"/>
                <w:lang w:eastAsia="en-US"/>
              </w:rPr>
              <w:t xml:space="preserve"> </w:t>
            </w:r>
            <w:r w:rsidRPr="00977820">
              <w:rPr>
                <w:rFonts w:asciiTheme="minorHAnsi" w:eastAsiaTheme="minorHAnsi" w:hAnsiTheme="minorHAnsi" w:cstheme="minorHAnsi"/>
                <w:sz w:val="22"/>
                <w:szCs w:val="22"/>
                <w:lang w:eastAsia="en-US"/>
              </w:rPr>
              <w:t>malignancy, beyond current PBS restrictions which allow use for</w:t>
            </w:r>
            <w:r w:rsidRPr="000A20DC">
              <w:rPr>
                <w:rFonts w:asciiTheme="minorHAnsi" w:eastAsiaTheme="minorHAnsi" w:hAnsiTheme="minorHAnsi" w:cstheme="minorHAnsi"/>
                <w:sz w:val="22"/>
                <w:szCs w:val="22"/>
                <w:lang w:eastAsia="en-US"/>
              </w:rPr>
              <w:t xml:space="preserve"> </w:t>
            </w:r>
            <w:r w:rsidRPr="00977820">
              <w:rPr>
                <w:rFonts w:asciiTheme="minorHAnsi" w:eastAsiaTheme="minorHAnsi" w:hAnsiTheme="minorHAnsi" w:cstheme="minorHAnsi"/>
                <w:sz w:val="22"/>
                <w:szCs w:val="22"/>
                <w:lang w:eastAsia="en-US"/>
              </w:rPr>
              <w:t>nausea/vomiting associated with radiotherapy or chemotherapy for</w:t>
            </w:r>
            <w:r w:rsidRPr="000A20DC">
              <w:rPr>
                <w:rFonts w:asciiTheme="minorHAnsi" w:eastAsiaTheme="minorHAnsi" w:hAnsiTheme="minorHAnsi" w:cstheme="minorHAnsi"/>
                <w:sz w:val="22"/>
                <w:szCs w:val="22"/>
                <w:lang w:eastAsia="en-US"/>
              </w:rPr>
              <w:t xml:space="preserve"> </w:t>
            </w:r>
            <w:r w:rsidRPr="00977820">
              <w:rPr>
                <w:rFonts w:asciiTheme="minorHAnsi" w:eastAsiaTheme="minorHAnsi" w:hAnsiTheme="minorHAnsi" w:cstheme="minorHAnsi"/>
                <w:sz w:val="22"/>
                <w:szCs w:val="22"/>
                <w:lang w:eastAsia="en-US"/>
              </w:rPr>
              <w:t>malignancy and chemotherapy for the treatment of juvenile autoimmune</w:t>
            </w:r>
            <w:r w:rsidRPr="000A20DC">
              <w:rPr>
                <w:rFonts w:asciiTheme="minorHAnsi" w:eastAsiaTheme="minorHAnsi" w:hAnsiTheme="minorHAnsi" w:cstheme="minorHAnsi"/>
                <w:sz w:val="22"/>
                <w:szCs w:val="22"/>
                <w:lang w:eastAsia="en-US"/>
              </w:rPr>
              <w:t xml:space="preserve"> </w:t>
            </w:r>
            <w:r w:rsidRPr="00977820">
              <w:rPr>
                <w:rFonts w:asciiTheme="minorHAnsi" w:eastAsiaTheme="minorHAnsi" w:hAnsiTheme="minorHAnsi" w:cstheme="minorHAnsi"/>
                <w:sz w:val="22"/>
                <w:szCs w:val="22"/>
                <w:lang w:eastAsia="en-US"/>
              </w:rPr>
              <w:t>conditions</w:t>
            </w:r>
          </w:p>
          <w:p w14:paraId="108610BA" w14:textId="04B40217"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Duloxetine for neuropathies, to be included in the upcoming low-cost</w:t>
            </w:r>
            <w:r w:rsidRPr="000A20DC">
              <w:rPr>
                <w:rFonts w:asciiTheme="minorHAnsi" w:eastAsiaTheme="minorHAnsi" w:hAnsiTheme="minorHAnsi" w:cstheme="minorHAnsi"/>
                <w:sz w:val="22"/>
                <w:szCs w:val="22"/>
                <w:lang w:eastAsia="en-US"/>
              </w:rPr>
              <w:t xml:space="preserve"> </w:t>
            </w:r>
            <w:r w:rsidRPr="00977820">
              <w:rPr>
                <w:rFonts w:asciiTheme="minorHAnsi" w:eastAsiaTheme="minorHAnsi" w:hAnsiTheme="minorHAnsi" w:cstheme="minorHAnsi"/>
                <w:sz w:val="22"/>
                <w:szCs w:val="22"/>
                <w:lang w:eastAsia="en-US"/>
              </w:rPr>
              <w:t>medicine review (antidepressant tranche),</w:t>
            </w:r>
          </w:p>
          <w:p w14:paraId="023C746F" w14:textId="2D89B84E"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 xml:space="preserve">Azithromycin for anti-inflammatory use and </w:t>
            </w:r>
            <w:r w:rsidRPr="000A20DC">
              <w:rPr>
                <w:rFonts w:asciiTheme="minorHAnsi" w:eastAsiaTheme="minorHAnsi" w:hAnsiTheme="minorHAnsi" w:cstheme="minorHAnsi"/>
                <w:sz w:val="22"/>
                <w:szCs w:val="22"/>
                <w:lang w:eastAsia="en-US"/>
              </w:rPr>
              <w:t>paediatric</w:t>
            </w:r>
            <w:r w:rsidRPr="00977820">
              <w:rPr>
                <w:rFonts w:asciiTheme="minorHAnsi" w:eastAsiaTheme="minorHAnsi" w:hAnsiTheme="minorHAnsi" w:cstheme="minorHAnsi"/>
                <w:sz w:val="22"/>
                <w:szCs w:val="22"/>
                <w:lang w:eastAsia="en-US"/>
              </w:rPr>
              <w:t xml:space="preserve"> bronchiectasis.</w:t>
            </w:r>
          </w:p>
          <w:p w14:paraId="644B7707" w14:textId="2DC6A7CF"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Rifampicin for active or latent tuberculosis.</w:t>
            </w:r>
          </w:p>
          <w:p w14:paraId="3EC950E1" w14:textId="43B6372A"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Tamsulosin for benign prostatic hyperplasia (BPH) on General Schedule</w:t>
            </w:r>
            <w:r w:rsidRPr="000A20DC">
              <w:rPr>
                <w:rFonts w:asciiTheme="minorHAnsi" w:eastAsiaTheme="minorHAnsi" w:hAnsiTheme="minorHAnsi" w:cstheme="minorHAnsi"/>
                <w:sz w:val="22"/>
                <w:szCs w:val="22"/>
                <w:lang w:eastAsia="en-US"/>
              </w:rPr>
              <w:t xml:space="preserve"> </w:t>
            </w:r>
            <w:r w:rsidRPr="00977820">
              <w:rPr>
                <w:rFonts w:asciiTheme="minorHAnsi" w:eastAsiaTheme="minorHAnsi" w:hAnsiTheme="minorHAnsi" w:cstheme="minorHAnsi"/>
                <w:sz w:val="22"/>
                <w:szCs w:val="22"/>
                <w:lang w:eastAsia="en-US"/>
              </w:rPr>
              <w:t>(currently only on RPBS).</w:t>
            </w:r>
          </w:p>
          <w:p w14:paraId="014615D9" w14:textId="19C8FF76"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Sildenafil for erectile dysfunction on General Schedule (currently only on</w:t>
            </w:r>
            <w:r w:rsidRPr="000A20DC">
              <w:rPr>
                <w:rFonts w:asciiTheme="minorHAnsi" w:eastAsiaTheme="minorHAnsi" w:hAnsiTheme="minorHAnsi" w:cstheme="minorHAnsi"/>
                <w:sz w:val="22"/>
                <w:szCs w:val="22"/>
                <w:lang w:eastAsia="en-US"/>
              </w:rPr>
              <w:t xml:space="preserve"> </w:t>
            </w:r>
            <w:r w:rsidRPr="00977820">
              <w:rPr>
                <w:rFonts w:asciiTheme="minorHAnsi" w:eastAsiaTheme="minorHAnsi" w:hAnsiTheme="minorHAnsi" w:cstheme="minorHAnsi"/>
                <w:sz w:val="22"/>
                <w:szCs w:val="22"/>
                <w:lang w:eastAsia="en-US"/>
              </w:rPr>
              <w:t>RPBS).</w:t>
            </w:r>
          </w:p>
          <w:p w14:paraId="71BF1B33" w14:textId="65DE2D58"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Gabapentin for neuropathic pain on General Schedule (currently only on</w:t>
            </w:r>
            <w:r w:rsidRPr="000A20DC">
              <w:rPr>
                <w:rFonts w:asciiTheme="minorHAnsi" w:eastAsiaTheme="minorHAnsi" w:hAnsiTheme="minorHAnsi" w:cstheme="minorHAnsi"/>
                <w:sz w:val="22"/>
                <w:szCs w:val="22"/>
                <w:lang w:eastAsia="en-US"/>
              </w:rPr>
              <w:t xml:space="preserve"> </w:t>
            </w:r>
            <w:r w:rsidRPr="00977820">
              <w:rPr>
                <w:rFonts w:asciiTheme="minorHAnsi" w:eastAsiaTheme="minorHAnsi" w:hAnsiTheme="minorHAnsi" w:cstheme="minorHAnsi"/>
                <w:sz w:val="22"/>
                <w:szCs w:val="22"/>
                <w:lang w:eastAsia="en-US"/>
              </w:rPr>
              <w:t>RPBS).</w:t>
            </w:r>
          </w:p>
          <w:p w14:paraId="4B8374A1" w14:textId="37B0AF1C"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Ursodeoxycholic acid for obstetric cholestasis.</w:t>
            </w:r>
          </w:p>
          <w:p w14:paraId="7CB33DAF" w14:textId="77777777" w:rsidR="00FA16C2" w:rsidRPr="000A20DC" w:rsidRDefault="00FA16C2" w:rsidP="008A0511">
            <w:pPr>
              <w:rPr>
                <w:rFonts w:asciiTheme="minorHAnsi" w:eastAsiaTheme="minorHAnsi" w:hAnsiTheme="minorHAnsi" w:cstheme="minorHAnsi"/>
                <w:sz w:val="22"/>
                <w:szCs w:val="22"/>
                <w:lang w:eastAsia="en-US"/>
              </w:rPr>
            </w:pPr>
          </w:p>
          <w:p w14:paraId="74D1CF2E" w14:textId="77777777" w:rsidR="00FA16C2" w:rsidRPr="000A20DC" w:rsidRDefault="00FA16C2" w:rsidP="0028047D">
            <w:pPr>
              <w:keepNext/>
              <w:keepLines/>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lastRenderedPageBreak/>
              <w:t>Status</w:t>
            </w:r>
          </w:p>
          <w:p w14:paraId="19800136" w14:textId="3EF305FD" w:rsidR="00FA16C2" w:rsidRPr="000A20DC" w:rsidRDefault="00FA16C2" w:rsidP="008A0511">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The Department will adopt a phased approach, with work on the above medicines progressing in tranches.  The Department is currently undertaking an analysis of the potential costs to the PBS associated with amending the restrictions for ondansetron to enable subsidised use in hyperemesis gravidarum and nausea and vomiting in malignancy (i.e. outside the current 48</w:t>
            </w:r>
            <w:r w:rsidR="00B6673C">
              <w:rPr>
                <w:rFonts w:asciiTheme="minorHAnsi" w:eastAsiaTheme="minorHAnsi" w:hAnsiTheme="minorHAnsi" w:cstheme="minorHAnsi"/>
                <w:sz w:val="22"/>
                <w:szCs w:val="22"/>
                <w:lang w:eastAsia="en-US"/>
              </w:rPr>
              <w:t> </w:t>
            </w:r>
            <w:r w:rsidRPr="000A20DC">
              <w:rPr>
                <w:rFonts w:asciiTheme="minorHAnsi" w:eastAsiaTheme="minorHAnsi" w:hAnsiTheme="minorHAnsi" w:cstheme="minorHAnsi"/>
                <w:sz w:val="22"/>
                <w:szCs w:val="22"/>
                <w:lang w:eastAsia="en-US"/>
              </w:rPr>
              <w:t xml:space="preserve">hour/ 7 day per cycle PBS restrictions). </w:t>
            </w:r>
          </w:p>
          <w:p w14:paraId="6C4D8F27" w14:textId="77777777" w:rsidR="00FA16C2" w:rsidRPr="000A20DC" w:rsidRDefault="00FA16C2" w:rsidP="008A0511">
            <w:pPr>
              <w:rPr>
                <w:rFonts w:asciiTheme="minorHAnsi" w:eastAsiaTheme="minorHAnsi" w:hAnsiTheme="minorHAnsi" w:cstheme="minorHAnsi"/>
                <w:sz w:val="22"/>
                <w:szCs w:val="22"/>
                <w:lang w:eastAsia="en-US"/>
              </w:rPr>
            </w:pPr>
          </w:p>
          <w:p w14:paraId="4E96ADE5" w14:textId="77777777" w:rsidR="00FA16C2" w:rsidRPr="000A20DC" w:rsidRDefault="00FA16C2" w:rsidP="008A0511">
            <w:pPr>
              <w:rPr>
                <w:rFonts w:asciiTheme="minorHAnsi" w:eastAsiaTheme="minorHAnsi" w:hAnsiTheme="minorHAnsi" w:cstheme="minorHAnsi"/>
                <w:b/>
                <w:bCs/>
                <w:sz w:val="22"/>
                <w:szCs w:val="22"/>
                <w:lang w:eastAsia="en-US"/>
              </w:rPr>
            </w:pPr>
            <w:r w:rsidRPr="000A20DC">
              <w:rPr>
                <w:rFonts w:asciiTheme="minorHAnsi" w:eastAsiaTheme="minorHAnsi" w:hAnsiTheme="minorHAnsi" w:cstheme="minorHAnsi"/>
                <w:b/>
                <w:bCs/>
                <w:sz w:val="22"/>
                <w:szCs w:val="22"/>
                <w:lang w:eastAsia="en-US"/>
              </w:rPr>
              <w:t>Next steps</w:t>
            </w:r>
          </w:p>
          <w:p w14:paraId="0FD4E6FE" w14:textId="255F23DA" w:rsidR="00FA16C2" w:rsidRPr="000A20DC" w:rsidRDefault="00FA16C2" w:rsidP="008A0511">
            <w:p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The resulting cost estimates for ondansetron will be provided to the PBAC for consideration at a future meeting in 2026. The Department is considering the way forward for further work to determine the suitability of azithromycin, rifampicin, tamsulosin, sildenafil, gabapentin and ursodeoxycholic acid for the indications requested by NACCHO.</w:t>
            </w:r>
          </w:p>
          <w:p w14:paraId="47736AF2" w14:textId="31816D3A" w:rsidR="00FA16C2" w:rsidRPr="00977820" w:rsidRDefault="00FA16C2" w:rsidP="008A0511">
            <w:pPr>
              <w:rPr>
                <w:rFonts w:asciiTheme="minorHAnsi" w:eastAsiaTheme="minorHAnsi" w:hAnsiTheme="minorHAnsi" w:cstheme="minorHAnsi"/>
                <w:sz w:val="22"/>
                <w:szCs w:val="22"/>
                <w:lang w:eastAsia="en-US"/>
              </w:rPr>
            </w:pPr>
          </w:p>
        </w:tc>
        <w:tc>
          <w:tcPr>
            <w:tcW w:w="2873" w:type="dxa"/>
            <w:tcBorders>
              <w:top w:val="single" w:sz="4" w:space="0" w:color="auto"/>
              <w:left w:val="single" w:sz="4" w:space="0" w:color="auto"/>
              <w:bottom w:val="single" w:sz="4" w:space="0" w:color="auto"/>
              <w:right w:val="single" w:sz="4" w:space="0" w:color="auto"/>
            </w:tcBorders>
          </w:tcPr>
          <w:p w14:paraId="584BB454" w14:textId="5B2E10E8" w:rsidR="00FA16C2" w:rsidRPr="000A20DC" w:rsidRDefault="00FA16C2" w:rsidP="008A0511">
            <w:pPr>
              <w:pStyle w:val="ListParagraph"/>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lastRenderedPageBreak/>
              <w:t xml:space="preserve">Ondansetron </w:t>
            </w:r>
          </w:p>
          <w:p w14:paraId="5B5EF95A" w14:textId="77777777" w:rsidR="00FA16C2" w:rsidRPr="000A20DC" w:rsidRDefault="00FA16C2" w:rsidP="008A0511">
            <w:pPr>
              <w:pStyle w:val="ListParagraph"/>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Duloxetine </w:t>
            </w:r>
          </w:p>
          <w:p w14:paraId="419F26F1" w14:textId="4A3B2DF5" w:rsidR="00FA16C2" w:rsidRPr="00977820" w:rsidRDefault="00FA16C2" w:rsidP="008A0511">
            <w:pPr>
              <w:pStyle w:val="ListParagraph"/>
              <w:numPr>
                <w:ilvl w:val="0"/>
                <w:numId w:val="25"/>
              </w:numPr>
              <w:rPr>
                <w:rFonts w:asciiTheme="minorHAnsi" w:eastAsiaTheme="minorHAnsi" w:hAnsiTheme="minorHAnsi" w:cstheme="minorHAnsi"/>
                <w:sz w:val="22"/>
                <w:szCs w:val="22"/>
                <w:lang w:eastAsia="en-US"/>
              </w:rPr>
            </w:pPr>
            <w:r w:rsidRPr="00977820">
              <w:rPr>
                <w:rFonts w:asciiTheme="minorHAnsi" w:eastAsiaTheme="minorHAnsi" w:hAnsiTheme="minorHAnsi" w:cstheme="minorHAnsi"/>
                <w:sz w:val="22"/>
                <w:szCs w:val="22"/>
                <w:lang w:eastAsia="en-US"/>
              </w:rPr>
              <w:t xml:space="preserve">Azithromycin </w:t>
            </w:r>
          </w:p>
          <w:p w14:paraId="11A5B74E" w14:textId="324C6439" w:rsidR="00FA16C2" w:rsidRPr="000A20DC" w:rsidRDefault="00FA16C2" w:rsidP="008A0511">
            <w:pPr>
              <w:pStyle w:val="ListParagraph"/>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Rifampicin </w:t>
            </w:r>
          </w:p>
          <w:p w14:paraId="1D75F751" w14:textId="29D5D166" w:rsidR="00FA16C2" w:rsidRPr="000A20DC" w:rsidRDefault="00FA16C2" w:rsidP="008A0511">
            <w:pPr>
              <w:pStyle w:val="ListParagraph"/>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Tamsulosin </w:t>
            </w:r>
          </w:p>
          <w:p w14:paraId="519D98F2" w14:textId="61F4B9BE" w:rsidR="00FA16C2" w:rsidRPr="000A20DC" w:rsidRDefault="00FA16C2" w:rsidP="008A0511">
            <w:pPr>
              <w:pStyle w:val="ListParagraph"/>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Sildenafil </w:t>
            </w:r>
          </w:p>
          <w:p w14:paraId="2601506F" w14:textId="2F0F2F5A" w:rsidR="00FA16C2" w:rsidRPr="000A20DC" w:rsidRDefault="00FA16C2" w:rsidP="008A0511">
            <w:pPr>
              <w:pStyle w:val="ListParagraph"/>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Gabapentin </w:t>
            </w:r>
          </w:p>
          <w:p w14:paraId="31DAAA9E" w14:textId="33BE2048" w:rsidR="00CD21CA" w:rsidRPr="000A20DC" w:rsidRDefault="00FA16C2" w:rsidP="008A0511">
            <w:pPr>
              <w:pStyle w:val="ListParagraph"/>
              <w:numPr>
                <w:ilvl w:val="0"/>
                <w:numId w:val="25"/>
              </w:numPr>
              <w:rPr>
                <w:rFonts w:asciiTheme="minorHAnsi" w:eastAsiaTheme="minorHAnsi" w:hAnsiTheme="minorHAnsi" w:cstheme="minorHAnsi"/>
                <w:sz w:val="22"/>
                <w:szCs w:val="22"/>
                <w:lang w:eastAsia="en-US"/>
              </w:rPr>
            </w:pPr>
            <w:r w:rsidRPr="000A20DC">
              <w:rPr>
                <w:rFonts w:asciiTheme="minorHAnsi" w:eastAsiaTheme="minorHAnsi" w:hAnsiTheme="minorHAnsi" w:cstheme="minorHAnsi"/>
                <w:sz w:val="22"/>
                <w:szCs w:val="22"/>
                <w:lang w:eastAsia="en-US"/>
              </w:rPr>
              <w:t xml:space="preserve">Ursodeoxycholic acid </w:t>
            </w:r>
          </w:p>
        </w:tc>
      </w:tr>
      <w:tr w:rsidR="00E54E9F" w:rsidRPr="000A20DC" w14:paraId="1583D4EF" w14:textId="77777777" w:rsidTr="61D5D7E7">
        <w:trPr>
          <w:trHeight w:val="300"/>
        </w:trPr>
        <w:tc>
          <w:tcPr>
            <w:tcW w:w="2542" w:type="dxa"/>
            <w:tcBorders>
              <w:top w:val="single" w:sz="4" w:space="0" w:color="auto"/>
              <w:left w:val="single" w:sz="4" w:space="0" w:color="auto"/>
              <w:bottom w:val="single" w:sz="4" w:space="0" w:color="auto"/>
              <w:right w:val="single" w:sz="4" w:space="0" w:color="auto"/>
            </w:tcBorders>
          </w:tcPr>
          <w:p w14:paraId="3E515A6E" w14:textId="66C7BC86" w:rsidR="00E54E9F" w:rsidRPr="000A20DC" w:rsidRDefault="00E54E9F" w:rsidP="008A0511">
            <w:pPr>
              <w:rPr>
                <w:rFonts w:asciiTheme="minorHAnsi" w:eastAsiaTheme="minorHAnsi" w:hAnsiTheme="minorHAnsi" w:cstheme="minorHAnsi"/>
                <w:sz w:val="22"/>
                <w:szCs w:val="22"/>
                <w:lang w:eastAsia="en-US"/>
              </w:rPr>
            </w:pPr>
            <w:r w:rsidRPr="003F2CC9">
              <w:rPr>
                <w:rFonts w:asciiTheme="minorHAnsi" w:eastAsiaTheme="minorHAnsi" w:hAnsiTheme="minorHAnsi" w:cstheme="minorHAnsi"/>
                <w:sz w:val="22"/>
                <w:szCs w:val="22"/>
                <w:lang w:eastAsia="en-US"/>
              </w:rPr>
              <w:t>Multiple myeloma</w:t>
            </w:r>
          </w:p>
        </w:tc>
        <w:tc>
          <w:tcPr>
            <w:tcW w:w="8745" w:type="dxa"/>
            <w:tcBorders>
              <w:top w:val="single" w:sz="4" w:space="0" w:color="auto"/>
              <w:left w:val="single" w:sz="4" w:space="0" w:color="auto"/>
              <w:bottom w:val="single" w:sz="4" w:space="0" w:color="auto"/>
              <w:right w:val="single" w:sz="4" w:space="0" w:color="auto"/>
            </w:tcBorders>
          </w:tcPr>
          <w:p w14:paraId="17983FFE" w14:textId="77777777" w:rsidR="00E54E9F" w:rsidRPr="00BB1FAD" w:rsidRDefault="00E54E9F" w:rsidP="0028047D">
            <w:pPr>
              <w:rPr>
                <w:rFonts w:ascii="Calibri" w:eastAsiaTheme="minorHAnsi" w:hAnsi="Calibri" w:cs="Calibri"/>
                <w:b/>
                <w:bCs/>
                <w:sz w:val="22"/>
                <w:szCs w:val="22"/>
                <w:lang w:eastAsia="en-US"/>
              </w:rPr>
            </w:pPr>
            <w:r w:rsidRPr="00BB1FAD">
              <w:rPr>
                <w:rFonts w:ascii="Calibri" w:eastAsiaTheme="minorHAnsi" w:hAnsi="Calibri" w:cs="Calibri"/>
                <w:b/>
                <w:bCs/>
                <w:sz w:val="22"/>
                <w:szCs w:val="22"/>
                <w:lang w:eastAsia="en-US"/>
              </w:rPr>
              <w:t>Medicines for multiple myeloma (MM)</w:t>
            </w:r>
          </w:p>
          <w:p w14:paraId="46DBA88C" w14:textId="77777777" w:rsidR="00E54E9F" w:rsidRPr="00BB1FAD" w:rsidRDefault="00E54E9F" w:rsidP="0028047D">
            <w:pPr>
              <w:rPr>
                <w:rFonts w:ascii="Calibri" w:eastAsiaTheme="minorHAnsi" w:hAnsi="Calibri" w:cs="Calibri"/>
                <w:b/>
                <w:bCs/>
                <w:sz w:val="22"/>
                <w:szCs w:val="22"/>
                <w:lang w:eastAsia="en-US"/>
              </w:rPr>
            </w:pPr>
          </w:p>
          <w:p w14:paraId="73DDE251" w14:textId="77777777" w:rsidR="00E54E9F" w:rsidRPr="00BB1FAD" w:rsidRDefault="00E54E9F" w:rsidP="0028047D">
            <w:pPr>
              <w:rPr>
                <w:rFonts w:ascii="Calibri" w:eastAsiaTheme="minorHAnsi" w:hAnsi="Calibri" w:cs="Calibri"/>
                <w:b/>
                <w:bCs/>
                <w:sz w:val="22"/>
                <w:szCs w:val="22"/>
                <w:lang w:eastAsia="en-US"/>
              </w:rPr>
            </w:pPr>
            <w:r w:rsidRPr="00BB1FAD">
              <w:rPr>
                <w:rFonts w:ascii="Calibri" w:eastAsiaTheme="minorHAnsi" w:hAnsi="Calibri" w:cs="Calibri"/>
                <w:b/>
                <w:bCs/>
                <w:sz w:val="22"/>
                <w:szCs w:val="22"/>
                <w:lang w:eastAsia="en-US"/>
              </w:rPr>
              <w:t>Background</w:t>
            </w:r>
          </w:p>
          <w:p w14:paraId="22402700" w14:textId="77777777" w:rsidR="00E54E9F" w:rsidRPr="00BB1FAD" w:rsidRDefault="00E54E9F" w:rsidP="0028047D">
            <w:pPr>
              <w:rPr>
                <w:rFonts w:ascii="Calibri" w:eastAsiaTheme="minorHAnsi" w:hAnsi="Calibri" w:cs="Calibri"/>
                <w:sz w:val="22"/>
                <w:szCs w:val="22"/>
                <w:lang w:eastAsia="en-US"/>
              </w:rPr>
            </w:pPr>
            <w:r w:rsidRPr="00A60956">
              <w:rPr>
                <w:rFonts w:ascii="Calibri" w:eastAsiaTheme="minorHAnsi" w:hAnsi="Calibri" w:cs="Calibri"/>
                <w:sz w:val="22"/>
                <w:szCs w:val="22"/>
                <w:lang w:eastAsia="en-US"/>
              </w:rPr>
              <w:t xml:space="preserve">MM stakeholder meetings were held between members of the PBAC and representatives from the Department, industry and consumer organisations (Myeloma Australia) on 25 July 2025 and 3 February 2026. Outcome statements from these meetings have been published on the </w:t>
            </w:r>
            <w:hyperlink r:id="rId22" w:history="1">
              <w:r w:rsidRPr="00A60956">
                <w:rPr>
                  <w:rStyle w:val="Hyperlink"/>
                  <w:rFonts w:ascii="Calibri" w:eastAsiaTheme="minorHAnsi" w:hAnsi="Calibri" w:cs="Calibri"/>
                  <w:sz w:val="22"/>
                  <w:szCs w:val="22"/>
                  <w:lang w:eastAsia="en-US"/>
                </w:rPr>
                <w:t>Pharmaceutical Benefits Scheme (PBS) website</w:t>
              </w:r>
            </w:hyperlink>
            <w:r w:rsidRPr="00A60956">
              <w:rPr>
                <w:rFonts w:ascii="Calibri" w:eastAsiaTheme="minorHAnsi" w:hAnsi="Calibri" w:cs="Calibri"/>
                <w:sz w:val="22"/>
                <w:szCs w:val="22"/>
                <w:lang w:eastAsia="en-US"/>
              </w:rPr>
              <w:t xml:space="preserve">. Issues raised by stakeholders at these meetings included that achieving the ideal/preferred treatment landscape </w:t>
            </w:r>
            <w:r w:rsidRPr="00BB1FAD">
              <w:rPr>
                <w:rFonts w:ascii="Calibri" w:eastAsiaTheme="minorHAnsi" w:hAnsi="Calibri" w:cs="Calibri"/>
                <w:sz w:val="22"/>
                <w:szCs w:val="22"/>
                <w:lang w:eastAsia="en-US"/>
              </w:rPr>
              <w:t xml:space="preserve">would involve amending the PBS restrictions. </w:t>
            </w:r>
          </w:p>
          <w:p w14:paraId="1225024B" w14:textId="77777777" w:rsidR="00E54E9F" w:rsidRPr="00BB1FAD" w:rsidRDefault="00E54E9F" w:rsidP="0028047D">
            <w:pPr>
              <w:rPr>
                <w:rFonts w:ascii="Calibri" w:eastAsiaTheme="minorHAnsi" w:hAnsi="Calibri" w:cs="Calibri"/>
                <w:sz w:val="22"/>
                <w:szCs w:val="22"/>
                <w:lang w:eastAsia="en-US"/>
              </w:rPr>
            </w:pPr>
          </w:p>
          <w:p w14:paraId="30D5C22D" w14:textId="77777777" w:rsidR="00E54E9F" w:rsidRPr="00BB1FAD" w:rsidRDefault="00E54E9F" w:rsidP="0028047D">
            <w:pPr>
              <w:rPr>
                <w:rFonts w:ascii="Calibri" w:eastAsiaTheme="minorHAnsi" w:hAnsi="Calibri" w:cs="Calibri"/>
                <w:b/>
                <w:bCs/>
                <w:sz w:val="22"/>
                <w:szCs w:val="22"/>
                <w:lang w:eastAsia="en-US"/>
              </w:rPr>
            </w:pPr>
            <w:r w:rsidRPr="00BB1FAD">
              <w:rPr>
                <w:rFonts w:ascii="Calibri" w:eastAsiaTheme="minorHAnsi" w:hAnsi="Calibri" w:cs="Calibri"/>
                <w:b/>
                <w:bCs/>
                <w:sz w:val="22"/>
                <w:szCs w:val="22"/>
                <w:lang w:eastAsia="en-US"/>
              </w:rPr>
              <w:t>Status</w:t>
            </w:r>
          </w:p>
          <w:p w14:paraId="61B12DB9" w14:textId="77777777" w:rsidR="00E77252" w:rsidRDefault="00E54E9F" w:rsidP="0028047D">
            <w:pPr>
              <w:rPr>
                <w:rFonts w:ascii="Calibri" w:eastAsiaTheme="minorHAnsi" w:hAnsi="Calibri" w:cs="Calibri"/>
                <w:bCs/>
                <w:iCs/>
                <w:sz w:val="22"/>
                <w:szCs w:val="22"/>
                <w:lang w:eastAsia="en-US"/>
              </w:rPr>
            </w:pPr>
            <w:r w:rsidRPr="00BB1FAD">
              <w:rPr>
                <w:rFonts w:ascii="Calibri" w:eastAsiaTheme="minorHAnsi" w:hAnsi="Calibri" w:cs="Calibri"/>
                <w:sz w:val="22"/>
                <w:szCs w:val="22"/>
                <w:lang w:eastAsia="en-US"/>
              </w:rPr>
              <w:t xml:space="preserve">The Department is in the process of </w:t>
            </w:r>
            <w:r w:rsidR="00A2609D">
              <w:rPr>
                <w:rFonts w:ascii="Calibri" w:eastAsiaTheme="minorHAnsi" w:hAnsi="Calibri" w:cs="Calibri"/>
                <w:sz w:val="22"/>
                <w:szCs w:val="22"/>
                <w:lang w:eastAsia="en-US"/>
              </w:rPr>
              <w:t xml:space="preserve">engaging a HTA contractor to </w:t>
            </w:r>
            <w:r w:rsidRPr="00BB1FAD">
              <w:rPr>
                <w:rFonts w:ascii="Calibri" w:hAnsi="Calibri" w:cs="Calibri"/>
                <w:iCs/>
                <w:sz w:val="22"/>
                <w:szCs w:val="22"/>
              </w:rPr>
              <w:t xml:space="preserve">undertake staged, exploratory analytical work regarding medicines for MM. </w:t>
            </w:r>
            <w:r w:rsidRPr="00BB1FAD">
              <w:rPr>
                <w:rFonts w:ascii="Calibri" w:eastAsiaTheme="minorHAnsi" w:hAnsi="Calibri" w:cs="Calibri"/>
                <w:bCs/>
                <w:iCs/>
                <w:sz w:val="22"/>
                <w:szCs w:val="22"/>
                <w:lang w:eastAsia="en-US"/>
              </w:rPr>
              <w:t>The objective of this research project is to contribute to a better understanding of the issues associated with expanding access to medicines for the treatment of MM, including relapsed or refractory multiple myeloma (RRMM), listed on the PBS, with consideration of treatment pathways across the full disease course. Evidence</w:t>
            </w:r>
            <w:r w:rsidRPr="00BB1FAD">
              <w:rPr>
                <w:rFonts w:ascii="Calibri" w:eastAsiaTheme="minorHAnsi" w:hAnsi="Calibri" w:cs="Calibri"/>
                <w:bCs/>
                <w:iCs/>
                <w:sz w:val="22"/>
                <w:szCs w:val="22"/>
                <w:lang w:eastAsia="en-US"/>
              </w:rPr>
              <w:noBreakHyphen/>
              <w:t>informed options for PBAC consideration in relation to future PBS settings, restriction structures or analytical approaches will be developed to support transparent, consistent and sustainable decision</w:t>
            </w:r>
            <w:r w:rsidRPr="00BB1FAD">
              <w:rPr>
                <w:rFonts w:ascii="Calibri" w:eastAsiaTheme="minorHAnsi" w:hAnsi="Calibri" w:cs="Calibri"/>
                <w:bCs/>
                <w:iCs/>
                <w:sz w:val="22"/>
                <w:szCs w:val="22"/>
                <w:lang w:eastAsia="en-US"/>
              </w:rPr>
              <w:noBreakHyphen/>
              <w:t xml:space="preserve">making. </w:t>
            </w:r>
          </w:p>
          <w:p w14:paraId="74570343" w14:textId="77777777" w:rsidR="00E77252" w:rsidRDefault="00E77252" w:rsidP="0028047D">
            <w:pPr>
              <w:rPr>
                <w:rFonts w:ascii="Calibri" w:eastAsiaTheme="minorHAnsi" w:hAnsi="Calibri" w:cs="Calibri"/>
                <w:bCs/>
                <w:iCs/>
                <w:sz w:val="22"/>
                <w:szCs w:val="22"/>
                <w:lang w:eastAsia="en-US"/>
              </w:rPr>
            </w:pPr>
          </w:p>
          <w:p w14:paraId="1C0C23A5" w14:textId="77777777" w:rsidR="00E77252" w:rsidRDefault="00E77252" w:rsidP="0028047D">
            <w:pPr>
              <w:rPr>
                <w:rFonts w:ascii="Calibri" w:eastAsiaTheme="minorHAnsi" w:hAnsi="Calibri" w:cs="Calibri"/>
                <w:bCs/>
                <w:iCs/>
                <w:sz w:val="22"/>
                <w:szCs w:val="22"/>
                <w:lang w:eastAsia="en-US"/>
              </w:rPr>
            </w:pPr>
          </w:p>
          <w:p w14:paraId="13870467" w14:textId="5651D2AD" w:rsidR="00E54E9F" w:rsidRPr="00BB1FAD" w:rsidRDefault="00E54E9F" w:rsidP="0028047D">
            <w:pPr>
              <w:rPr>
                <w:rFonts w:ascii="Calibri" w:eastAsiaTheme="minorHAnsi" w:hAnsi="Calibri" w:cs="Calibri"/>
                <w:b/>
                <w:bCs/>
                <w:sz w:val="22"/>
                <w:szCs w:val="22"/>
                <w:lang w:eastAsia="en-US"/>
              </w:rPr>
            </w:pPr>
            <w:r w:rsidRPr="00BB1FAD">
              <w:rPr>
                <w:rFonts w:ascii="Calibri" w:eastAsiaTheme="minorHAnsi" w:hAnsi="Calibri" w:cs="Calibri"/>
                <w:bCs/>
                <w:iCs/>
                <w:sz w:val="22"/>
                <w:szCs w:val="22"/>
                <w:lang w:eastAsia="en-US"/>
              </w:rPr>
              <w:lastRenderedPageBreak/>
              <w:t xml:space="preserve">This work will </w:t>
            </w:r>
            <w:r w:rsidRPr="00BB1FAD">
              <w:rPr>
                <w:rFonts w:ascii="Calibri" w:hAnsi="Calibri" w:cs="Calibri"/>
                <w:iCs/>
                <w:sz w:val="22"/>
                <w:szCs w:val="22"/>
              </w:rPr>
              <w:t xml:space="preserve">be informed by: </w:t>
            </w:r>
          </w:p>
          <w:p w14:paraId="3DC0A4E8" w14:textId="77777777" w:rsidR="00E54E9F" w:rsidRPr="00BB1FAD" w:rsidRDefault="00E54E9F" w:rsidP="0028047D">
            <w:pPr>
              <w:numPr>
                <w:ilvl w:val="0"/>
                <w:numId w:val="41"/>
              </w:numPr>
              <w:spacing w:before="120" w:after="120"/>
              <w:rPr>
                <w:rFonts w:ascii="Calibri" w:hAnsi="Calibri" w:cs="Calibri"/>
                <w:iCs/>
                <w:sz w:val="22"/>
                <w:szCs w:val="22"/>
              </w:rPr>
            </w:pPr>
            <w:r w:rsidRPr="00BB1FAD">
              <w:rPr>
                <w:rFonts w:ascii="Calibri" w:hAnsi="Calibri" w:cs="Calibri"/>
                <w:iCs/>
                <w:sz w:val="22"/>
                <w:szCs w:val="22"/>
              </w:rPr>
              <w:t xml:space="preserve">outcomes of PBAC stakeholder meetings (held in </w:t>
            </w:r>
            <w:hyperlink r:id="rId23" w:history="1">
              <w:r w:rsidRPr="00BB1FAD">
                <w:rPr>
                  <w:rStyle w:val="Hyperlink"/>
                  <w:rFonts w:ascii="Calibri" w:eastAsiaTheme="minorEastAsia" w:hAnsi="Calibri" w:cs="Calibri"/>
                  <w:iCs/>
                  <w:sz w:val="22"/>
                  <w:szCs w:val="22"/>
                </w:rPr>
                <w:t>July 2025</w:t>
              </w:r>
            </w:hyperlink>
            <w:r w:rsidRPr="00BB1FAD">
              <w:rPr>
                <w:rFonts w:ascii="Calibri" w:hAnsi="Calibri" w:cs="Calibri"/>
                <w:iCs/>
                <w:sz w:val="22"/>
                <w:szCs w:val="22"/>
              </w:rPr>
              <w:t xml:space="preserve"> and </w:t>
            </w:r>
            <w:hyperlink r:id="rId24" w:history="1">
              <w:r w:rsidRPr="00BB1FAD">
                <w:rPr>
                  <w:rStyle w:val="Hyperlink"/>
                  <w:rFonts w:ascii="Calibri" w:eastAsiaTheme="minorEastAsia" w:hAnsi="Calibri" w:cs="Calibri"/>
                  <w:iCs/>
                  <w:sz w:val="22"/>
                  <w:szCs w:val="22"/>
                </w:rPr>
                <w:t>February 2026</w:t>
              </w:r>
            </w:hyperlink>
            <w:r w:rsidRPr="00BB1FAD">
              <w:rPr>
                <w:rFonts w:ascii="Calibri" w:hAnsi="Calibri" w:cs="Calibri"/>
                <w:iCs/>
                <w:sz w:val="22"/>
                <w:szCs w:val="22"/>
              </w:rPr>
              <w:t xml:space="preserve">); </w:t>
            </w:r>
          </w:p>
          <w:p w14:paraId="228328AE" w14:textId="77777777" w:rsidR="00E54E9F" w:rsidRDefault="00E54E9F" w:rsidP="0028047D">
            <w:pPr>
              <w:numPr>
                <w:ilvl w:val="0"/>
                <w:numId w:val="41"/>
              </w:numPr>
              <w:spacing w:before="120" w:after="120"/>
              <w:rPr>
                <w:rFonts w:ascii="Calibri" w:hAnsi="Calibri" w:cs="Calibri"/>
                <w:iCs/>
                <w:sz w:val="22"/>
                <w:szCs w:val="22"/>
              </w:rPr>
            </w:pPr>
            <w:r w:rsidRPr="00BB1FAD">
              <w:rPr>
                <w:rFonts w:ascii="Calibri" w:hAnsi="Calibri" w:cs="Calibri"/>
                <w:iCs/>
                <w:sz w:val="22"/>
                <w:szCs w:val="22"/>
              </w:rPr>
              <w:t xml:space="preserve">correspondence from Myeloma Australia’s Medical and Scientific Advisory Group; </w:t>
            </w:r>
          </w:p>
          <w:p w14:paraId="041DD6D9" w14:textId="77777777" w:rsidR="00E54E9F" w:rsidRPr="007F241B" w:rsidRDefault="00E54E9F" w:rsidP="008A0511">
            <w:pPr>
              <w:pStyle w:val="ListParagraph"/>
              <w:numPr>
                <w:ilvl w:val="0"/>
                <w:numId w:val="45"/>
              </w:numPr>
              <w:rPr>
                <w:rFonts w:asciiTheme="minorHAnsi" w:eastAsiaTheme="minorHAnsi" w:hAnsiTheme="minorHAnsi" w:cstheme="minorHAnsi"/>
                <w:b/>
                <w:bCs/>
                <w:sz w:val="22"/>
                <w:szCs w:val="22"/>
                <w:lang w:eastAsia="en-US"/>
              </w:rPr>
            </w:pPr>
            <w:r w:rsidRPr="00A2609D">
              <w:rPr>
                <w:rFonts w:ascii="Calibri" w:hAnsi="Calibri" w:cs="Calibri"/>
                <w:iCs/>
                <w:sz w:val="22"/>
                <w:szCs w:val="22"/>
              </w:rPr>
              <w:t>principles agreed by sponsors of multiple myeloma medicines at February 2026 meeting.</w:t>
            </w:r>
          </w:p>
          <w:p w14:paraId="7B4AF13F" w14:textId="77777777" w:rsidR="007B226C" w:rsidRDefault="007B226C" w:rsidP="008A0511">
            <w:pPr>
              <w:rPr>
                <w:rFonts w:asciiTheme="minorHAnsi" w:eastAsiaTheme="minorHAnsi" w:hAnsiTheme="minorHAnsi" w:cstheme="minorHAnsi"/>
                <w:b/>
                <w:bCs/>
                <w:sz w:val="22"/>
                <w:szCs w:val="22"/>
                <w:lang w:eastAsia="en-US"/>
              </w:rPr>
            </w:pPr>
          </w:p>
          <w:p w14:paraId="31BE3E2F" w14:textId="7743B385" w:rsidR="007B226C" w:rsidRPr="007B226C" w:rsidRDefault="007B226C" w:rsidP="008A0511">
            <w:pPr>
              <w:rPr>
                <w:rFonts w:asciiTheme="minorHAnsi" w:eastAsiaTheme="minorHAnsi" w:hAnsiTheme="minorHAnsi" w:cstheme="minorHAnsi"/>
                <w:b/>
                <w:bCs/>
                <w:sz w:val="22"/>
                <w:szCs w:val="22"/>
                <w:lang w:eastAsia="en-US"/>
              </w:rPr>
            </w:pPr>
            <w:r w:rsidRPr="007B226C">
              <w:rPr>
                <w:rFonts w:asciiTheme="minorHAnsi" w:eastAsiaTheme="minorHAnsi" w:hAnsiTheme="minorHAnsi" w:cstheme="minorHAnsi"/>
                <w:b/>
                <w:bCs/>
                <w:sz w:val="22"/>
                <w:szCs w:val="22"/>
                <w:lang w:eastAsia="en-US"/>
              </w:rPr>
              <w:t>Next steps</w:t>
            </w:r>
          </w:p>
          <w:p w14:paraId="520710A4" w14:textId="4C8B8759" w:rsidR="007B226C" w:rsidRPr="007F241B" w:rsidRDefault="00A2609D" w:rsidP="008A0511">
            <w:p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The Department is engaging a</w:t>
            </w:r>
            <w:r w:rsidR="007B226C" w:rsidRPr="007B226C">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HTA</w:t>
            </w:r>
            <w:r w:rsidR="007B226C" w:rsidRPr="007B226C">
              <w:rPr>
                <w:rFonts w:asciiTheme="minorHAnsi" w:eastAsiaTheme="minorHAnsi" w:hAnsiTheme="minorHAnsi" w:cstheme="minorHAnsi"/>
                <w:sz w:val="22"/>
                <w:szCs w:val="22"/>
                <w:lang w:eastAsia="en-US"/>
              </w:rPr>
              <w:t xml:space="preserve"> contractor </w:t>
            </w:r>
            <w:r>
              <w:rPr>
                <w:rFonts w:asciiTheme="minorHAnsi" w:eastAsiaTheme="minorHAnsi" w:hAnsiTheme="minorHAnsi" w:cstheme="minorHAnsi"/>
                <w:sz w:val="22"/>
                <w:szCs w:val="22"/>
                <w:lang w:eastAsia="en-US"/>
              </w:rPr>
              <w:t>to</w:t>
            </w:r>
            <w:r w:rsidR="007B226C" w:rsidRPr="007B226C">
              <w:rPr>
                <w:rFonts w:asciiTheme="minorHAnsi" w:eastAsiaTheme="minorHAnsi" w:hAnsiTheme="minorHAnsi" w:cstheme="minorHAnsi"/>
                <w:sz w:val="22"/>
                <w:szCs w:val="22"/>
                <w:lang w:eastAsia="en-US"/>
              </w:rPr>
              <w:t xml:space="preserve"> develop options for changing the PBS restrictions</w:t>
            </w:r>
            <w:r>
              <w:rPr>
                <w:rFonts w:asciiTheme="minorHAnsi" w:eastAsiaTheme="minorHAnsi" w:hAnsiTheme="minorHAnsi" w:cstheme="minorHAnsi"/>
                <w:sz w:val="22"/>
                <w:szCs w:val="22"/>
                <w:lang w:eastAsia="en-US"/>
              </w:rPr>
              <w:t xml:space="preserve">, informed by </w:t>
            </w:r>
            <w:r w:rsidRPr="00A2609D">
              <w:rPr>
                <w:rFonts w:asciiTheme="minorHAnsi" w:eastAsiaTheme="minorHAnsi" w:hAnsiTheme="minorHAnsi" w:cstheme="minorHAnsi"/>
                <w:bCs/>
                <w:sz w:val="22"/>
                <w:szCs w:val="22"/>
                <w:lang w:eastAsia="en-US"/>
              </w:rPr>
              <w:t>contemporary Australian and international clinical guidelines</w:t>
            </w:r>
            <w:r>
              <w:rPr>
                <w:rFonts w:asciiTheme="minorHAnsi" w:eastAsiaTheme="minorHAnsi" w:hAnsiTheme="minorHAnsi" w:cstheme="minorHAnsi"/>
                <w:bCs/>
                <w:sz w:val="22"/>
                <w:szCs w:val="22"/>
                <w:lang w:eastAsia="en-US"/>
              </w:rPr>
              <w:t xml:space="preserve">; </w:t>
            </w:r>
            <w:r w:rsidRPr="00A2609D">
              <w:rPr>
                <w:rFonts w:asciiTheme="minorHAnsi" w:eastAsiaTheme="minorHAnsi" w:hAnsiTheme="minorHAnsi" w:cstheme="minorHAnsi"/>
                <w:bCs/>
                <w:sz w:val="22"/>
                <w:szCs w:val="22"/>
                <w:lang w:eastAsia="en-US"/>
              </w:rPr>
              <w:t>real</w:t>
            </w:r>
            <w:r w:rsidRPr="00A2609D">
              <w:rPr>
                <w:rFonts w:asciiTheme="minorHAnsi" w:eastAsiaTheme="minorHAnsi" w:hAnsiTheme="minorHAnsi" w:cstheme="minorHAnsi"/>
                <w:bCs/>
                <w:sz w:val="22"/>
                <w:szCs w:val="22"/>
                <w:lang w:eastAsia="en-US"/>
              </w:rPr>
              <w:noBreakHyphen/>
              <w:t>world data</w:t>
            </w:r>
            <w:r>
              <w:rPr>
                <w:rFonts w:asciiTheme="minorHAnsi" w:eastAsiaTheme="minorHAnsi" w:hAnsiTheme="minorHAnsi" w:cstheme="minorHAnsi"/>
                <w:bCs/>
                <w:sz w:val="22"/>
                <w:szCs w:val="22"/>
                <w:lang w:eastAsia="en-US"/>
              </w:rPr>
              <w:t>; and stakeholder input</w:t>
            </w:r>
            <w:r>
              <w:rPr>
                <w:rFonts w:asciiTheme="minorHAnsi" w:eastAsiaTheme="minorHAnsi" w:hAnsiTheme="minorHAnsi" w:cstheme="minorHAnsi"/>
                <w:sz w:val="22"/>
                <w:szCs w:val="22"/>
                <w:lang w:eastAsia="en-US"/>
              </w:rPr>
              <w:t>. A report from the HTA contractor is expected to be</w:t>
            </w:r>
            <w:r w:rsidR="007B226C" w:rsidRPr="007B226C">
              <w:rPr>
                <w:rFonts w:asciiTheme="minorHAnsi" w:eastAsiaTheme="minorHAnsi" w:hAnsiTheme="minorHAnsi" w:cstheme="minorHAnsi"/>
                <w:sz w:val="22"/>
                <w:szCs w:val="22"/>
                <w:lang w:eastAsia="en-US"/>
              </w:rPr>
              <w:t xml:space="preserve"> consider</w:t>
            </w:r>
            <w:r>
              <w:rPr>
                <w:rFonts w:asciiTheme="minorHAnsi" w:eastAsiaTheme="minorHAnsi" w:hAnsiTheme="minorHAnsi" w:cstheme="minorHAnsi"/>
                <w:sz w:val="22"/>
                <w:szCs w:val="22"/>
                <w:lang w:eastAsia="en-US"/>
              </w:rPr>
              <w:t>ed</w:t>
            </w:r>
            <w:r w:rsidR="007B226C" w:rsidRPr="007B226C">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by PBAC </w:t>
            </w:r>
            <w:r w:rsidR="007B226C" w:rsidRPr="007B226C">
              <w:rPr>
                <w:rFonts w:asciiTheme="minorHAnsi" w:eastAsiaTheme="minorHAnsi" w:hAnsiTheme="minorHAnsi" w:cstheme="minorHAnsi"/>
                <w:sz w:val="22"/>
                <w:szCs w:val="22"/>
                <w:lang w:eastAsia="en-US"/>
              </w:rPr>
              <w:t xml:space="preserve">at </w:t>
            </w:r>
            <w:r>
              <w:rPr>
                <w:rFonts w:asciiTheme="minorHAnsi" w:eastAsiaTheme="minorHAnsi" w:hAnsiTheme="minorHAnsi" w:cstheme="minorHAnsi"/>
                <w:sz w:val="22"/>
                <w:szCs w:val="22"/>
                <w:lang w:eastAsia="en-US"/>
              </w:rPr>
              <w:t>its</w:t>
            </w:r>
            <w:r w:rsidR="007B226C" w:rsidRPr="007B226C">
              <w:rPr>
                <w:rFonts w:asciiTheme="minorHAnsi" w:eastAsiaTheme="minorHAnsi" w:hAnsiTheme="minorHAnsi" w:cstheme="minorHAnsi"/>
                <w:sz w:val="22"/>
                <w:szCs w:val="22"/>
                <w:lang w:eastAsia="en-US"/>
              </w:rPr>
              <w:t xml:space="preserve"> May 2027 PBAC Intracycle meeting. Subject to PBAC advice at that meeting, the contractor will then undertake economic and/or financial modelling of the proposed options for PBAC consideration later in 2027.</w:t>
            </w:r>
          </w:p>
        </w:tc>
        <w:tc>
          <w:tcPr>
            <w:tcW w:w="2873" w:type="dxa"/>
            <w:tcBorders>
              <w:top w:val="single" w:sz="4" w:space="0" w:color="auto"/>
              <w:left w:val="single" w:sz="4" w:space="0" w:color="auto"/>
              <w:bottom w:val="single" w:sz="4" w:space="0" w:color="auto"/>
              <w:right w:val="single" w:sz="4" w:space="0" w:color="auto"/>
            </w:tcBorders>
          </w:tcPr>
          <w:p w14:paraId="741645E2" w14:textId="0450ABFE" w:rsidR="00E54E9F" w:rsidRPr="000A20DC" w:rsidRDefault="00E54E9F" w:rsidP="008A0511">
            <w:pPr>
              <w:pStyle w:val="ListParagraph"/>
              <w:numPr>
                <w:ilvl w:val="0"/>
                <w:numId w:val="25"/>
              </w:num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Medicines for multiple myeloma</w:t>
            </w:r>
          </w:p>
        </w:tc>
      </w:tr>
      <w:tr w:rsidR="00B84472" w:rsidRPr="000A20DC" w14:paraId="70DC0683" w14:textId="77777777" w:rsidTr="61D5D7E7">
        <w:trPr>
          <w:trHeight w:val="300"/>
        </w:trPr>
        <w:tc>
          <w:tcPr>
            <w:tcW w:w="2542" w:type="dxa"/>
            <w:tcBorders>
              <w:top w:val="single" w:sz="4" w:space="0" w:color="auto"/>
              <w:left w:val="single" w:sz="4" w:space="0" w:color="auto"/>
              <w:bottom w:val="single" w:sz="4" w:space="0" w:color="auto"/>
              <w:right w:val="single" w:sz="4" w:space="0" w:color="auto"/>
            </w:tcBorders>
          </w:tcPr>
          <w:p w14:paraId="00A1A026" w14:textId="4FB83E82" w:rsidR="00B84472" w:rsidRPr="00E54E9F" w:rsidRDefault="00B84472" w:rsidP="008A0511">
            <w:pPr>
              <w:rPr>
                <w:rFonts w:asciiTheme="minorHAnsi" w:eastAsiaTheme="minorHAnsi" w:hAnsiTheme="minorHAnsi" w:cstheme="minorHAnsi"/>
                <w:sz w:val="22"/>
                <w:szCs w:val="22"/>
                <w:lang w:eastAsia="en-US"/>
              </w:rPr>
            </w:pPr>
            <w:r w:rsidRPr="00E54E9F">
              <w:rPr>
                <w:rFonts w:asciiTheme="minorHAnsi" w:eastAsiaTheme="minorHAnsi" w:hAnsiTheme="minorHAnsi" w:cstheme="minorHAnsi"/>
                <w:sz w:val="22"/>
                <w:szCs w:val="22"/>
                <w:lang w:eastAsia="en-US"/>
              </w:rPr>
              <w:t xml:space="preserve">Diphtheria </w:t>
            </w:r>
          </w:p>
        </w:tc>
        <w:tc>
          <w:tcPr>
            <w:tcW w:w="8745" w:type="dxa"/>
            <w:tcBorders>
              <w:top w:val="single" w:sz="4" w:space="0" w:color="auto"/>
              <w:left w:val="single" w:sz="4" w:space="0" w:color="auto"/>
              <w:bottom w:val="single" w:sz="4" w:space="0" w:color="auto"/>
              <w:right w:val="single" w:sz="4" w:space="0" w:color="auto"/>
            </w:tcBorders>
          </w:tcPr>
          <w:p w14:paraId="0A9F559B" w14:textId="74D4FBBA" w:rsidR="00B84472" w:rsidRPr="00B6673C" w:rsidRDefault="00B84472" w:rsidP="008A0511">
            <w:pPr>
              <w:rPr>
                <w:rFonts w:asciiTheme="minorHAnsi" w:eastAsiaTheme="minorHAnsi" w:hAnsiTheme="minorHAnsi" w:cstheme="minorHAnsi"/>
                <w:b/>
                <w:bCs/>
                <w:sz w:val="22"/>
                <w:szCs w:val="22"/>
                <w:lang w:eastAsia="en-US"/>
              </w:rPr>
            </w:pPr>
            <w:r w:rsidRPr="00B6673C">
              <w:rPr>
                <w:rFonts w:asciiTheme="minorHAnsi" w:eastAsiaTheme="minorHAnsi" w:hAnsiTheme="minorHAnsi" w:cstheme="minorHAnsi"/>
                <w:b/>
                <w:bCs/>
                <w:sz w:val="22"/>
                <w:szCs w:val="22"/>
                <w:lang w:eastAsia="en-US"/>
              </w:rPr>
              <w:t xml:space="preserve">Azithromycin for the treatment of </w:t>
            </w:r>
            <w:r w:rsidR="002623DA" w:rsidRPr="00B6673C">
              <w:rPr>
                <w:rFonts w:asciiTheme="minorHAnsi" w:eastAsiaTheme="minorHAnsi" w:hAnsiTheme="minorHAnsi" w:cstheme="minorHAnsi"/>
                <w:b/>
                <w:bCs/>
                <w:sz w:val="22"/>
                <w:szCs w:val="22"/>
                <w:lang w:eastAsia="en-US"/>
              </w:rPr>
              <w:t>d</w:t>
            </w:r>
            <w:r w:rsidRPr="00B6673C">
              <w:rPr>
                <w:rFonts w:asciiTheme="minorHAnsi" w:eastAsiaTheme="minorHAnsi" w:hAnsiTheme="minorHAnsi" w:cstheme="minorHAnsi"/>
                <w:b/>
                <w:bCs/>
                <w:sz w:val="22"/>
                <w:szCs w:val="22"/>
                <w:lang w:eastAsia="en-US"/>
              </w:rPr>
              <w:t xml:space="preserve">iphtheria </w:t>
            </w:r>
          </w:p>
          <w:p w14:paraId="2FE1EAF6" w14:textId="77777777" w:rsidR="00B84472" w:rsidRPr="00B6673C" w:rsidRDefault="00B84472" w:rsidP="008A0511">
            <w:pPr>
              <w:rPr>
                <w:rFonts w:asciiTheme="minorHAnsi" w:eastAsiaTheme="minorHAnsi" w:hAnsiTheme="minorHAnsi" w:cstheme="minorHAnsi"/>
                <w:sz w:val="22"/>
                <w:szCs w:val="22"/>
                <w:lang w:eastAsia="en-US"/>
              </w:rPr>
            </w:pPr>
          </w:p>
          <w:p w14:paraId="062A229C" w14:textId="6ADC6A3C" w:rsidR="00B84472" w:rsidRPr="00B6673C" w:rsidRDefault="00B84472" w:rsidP="008A0511">
            <w:pPr>
              <w:rPr>
                <w:rFonts w:asciiTheme="minorHAnsi" w:eastAsiaTheme="minorHAnsi" w:hAnsiTheme="minorHAnsi" w:cstheme="minorHAnsi"/>
                <w:b/>
                <w:bCs/>
                <w:sz w:val="22"/>
                <w:szCs w:val="22"/>
                <w:lang w:eastAsia="en-US"/>
              </w:rPr>
            </w:pPr>
            <w:r w:rsidRPr="00B6673C">
              <w:rPr>
                <w:rFonts w:asciiTheme="minorHAnsi" w:eastAsiaTheme="minorHAnsi" w:hAnsiTheme="minorHAnsi" w:cstheme="minorHAnsi"/>
                <w:b/>
                <w:bCs/>
                <w:sz w:val="22"/>
                <w:szCs w:val="22"/>
                <w:lang w:eastAsia="en-US"/>
              </w:rPr>
              <w:t>Background</w:t>
            </w:r>
          </w:p>
          <w:p w14:paraId="67285722" w14:textId="04FD7B94" w:rsidR="00B84472" w:rsidRPr="00B6673C" w:rsidRDefault="00C6732F" w:rsidP="008A0511">
            <w:pPr>
              <w:rPr>
                <w:rFonts w:asciiTheme="minorHAnsi" w:eastAsiaTheme="minorHAnsi" w:hAnsiTheme="minorHAnsi" w:cstheme="minorHAnsi"/>
                <w:sz w:val="22"/>
                <w:szCs w:val="22"/>
                <w:lang w:eastAsia="en-US"/>
              </w:rPr>
            </w:pPr>
            <w:r w:rsidRPr="00B6673C">
              <w:rPr>
                <w:rFonts w:asciiTheme="minorHAnsi" w:eastAsiaTheme="minorHAnsi" w:hAnsiTheme="minorHAnsi" w:cstheme="minorHAnsi"/>
                <w:sz w:val="22"/>
                <w:szCs w:val="22"/>
                <w:lang w:eastAsia="en-US"/>
              </w:rPr>
              <w:t xml:space="preserve">The PBAC received representations from the National Aboriginal Community Control Health Organisation (NACCHO) </w:t>
            </w:r>
            <w:r w:rsidR="00232172" w:rsidRPr="00B6673C">
              <w:rPr>
                <w:rFonts w:asciiTheme="minorHAnsi" w:eastAsiaTheme="minorHAnsi" w:hAnsiTheme="minorHAnsi" w:cstheme="minorHAnsi"/>
                <w:sz w:val="22"/>
                <w:szCs w:val="22"/>
                <w:lang w:eastAsia="en-US"/>
              </w:rPr>
              <w:t>and Northern</w:t>
            </w:r>
            <w:r w:rsidR="00651697" w:rsidRPr="00B6673C">
              <w:rPr>
                <w:rFonts w:asciiTheme="minorHAnsi" w:eastAsiaTheme="minorHAnsi" w:hAnsiTheme="minorHAnsi" w:cstheme="minorHAnsi"/>
                <w:sz w:val="22"/>
                <w:szCs w:val="22"/>
                <w:lang w:eastAsia="en-US"/>
              </w:rPr>
              <w:t xml:space="preserve"> Territory (</w:t>
            </w:r>
            <w:r w:rsidRPr="00B6673C">
              <w:rPr>
                <w:rFonts w:asciiTheme="minorHAnsi" w:eastAsiaTheme="minorHAnsi" w:hAnsiTheme="minorHAnsi" w:cstheme="minorHAnsi"/>
                <w:sz w:val="22"/>
                <w:szCs w:val="22"/>
                <w:lang w:eastAsia="en-US"/>
              </w:rPr>
              <w:t>NT</w:t>
            </w:r>
            <w:r w:rsidR="00651697" w:rsidRPr="00B6673C">
              <w:rPr>
                <w:rFonts w:asciiTheme="minorHAnsi" w:eastAsiaTheme="minorHAnsi" w:hAnsiTheme="minorHAnsi" w:cstheme="minorHAnsi"/>
                <w:sz w:val="22"/>
                <w:szCs w:val="22"/>
                <w:lang w:eastAsia="en-US"/>
              </w:rPr>
              <w:t>)</w:t>
            </w:r>
            <w:r w:rsidRPr="00B6673C">
              <w:rPr>
                <w:rFonts w:asciiTheme="minorHAnsi" w:eastAsiaTheme="minorHAnsi" w:hAnsiTheme="minorHAnsi" w:cstheme="minorHAnsi"/>
                <w:sz w:val="22"/>
                <w:szCs w:val="22"/>
                <w:lang w:eastAsia="en-US"/>
              </w:rPr>
              <w:t xml:space="preserve"> Health to consider expanding the PBS subsidy arrangements of azithromycin in response to the diphtheria outbreak in the NT and Western Australia.</w:t>
            </w:r>
          </w:p>
          <w:p w14:paraId="4BED9124" w14:textId="77777777" w:rsidR="00C6732F" w:rsidRPr="00B6673C" w:rsidRDefault="00C6732F" w:rsidP="008A0511">
            <w:pPr>
              <w:rPr>
                <w:rFonts w:asciiTheme="minorHAnsi" w:eastAsiaTheme="minorHAnsi" w:hAnsiTheme="minorHAnsi" w:cstheme="minorHAnsi"/>
                <w:sz w:val="22"/>
                <w:szCs w:val="22"/>
                <w:lang w:eastAsia="en-US"/>
              </w:rPr>
            </w:pPr>
          </w:p>
          <w:p w14:paraId="61398EDC" w14:textId="7DE01A33" w:rsidR="00232172" w:rsidRPr="00B6673C" w:rsidRDefault="00C6732F" w:rsidP="008A0511">
            <w:pPr>
              <w:rPr>
                <w:rFonts w:asciiTheme="minorHAnsi" w:eastAsiaTheme="minorHAnsi" w:hAnsiTheme="minorHAnsi" w:cstheme="minorHAnsi"/>
                <w:b/>
                <w:bCs/>
                <w:sz w:val="22"/>
                <w:szCs w:val="22"/>
                <w:lang w:eastAsia="en-US"/>
              </w:rPr>
            </w:pPr>
            <w:r w:rsidRPr="00B6673C">
              <w:rPr>
                <w:rFonts w:asciiTheme="minorHAnsi" w:eastAsiaTheme="minorHAnsi" w:hAnsiTheme="minorHAnsi" w:cstheme="minorHAnsi"/>
                <w:b/>
                <w:bCs/>
                <w:sz w:val="22"/>
                <w:szCs w:val="22"/>
                <w:lang w:eastAsia="en-US"/>
              </w:rPr>
              <w:t>Status</w:t>
            </w:r>
          </w:p>
          <w:p w14:paraId="248438A9" w14:textId="77777777" w:rsidR="00645409" w:rsidRDefault="00645409">
            <w:pPr>
              <w:rPr>
                <w:kern w:val="2"/>
                <w:szCs w:val="24"/>
                <w14:ligatures w14:val="standardContextual"/>
              </w:rPr>
            </w:pPr>
            <w:r>
              <w:rPr>
                <w:rFonts w:ascii="Calibri" w:hAnsi="Calibri" w:cs="Calibri"/>
                <w:sz w:val="22"/>
                <w:szCs w:val="22"/>
              </w:rPr>
              <w:t xml:space="preserve">At its meeting in May 2026, the PBAC acted on requests from the NT Government and NACCHO and asked the Department to undertake further work on potential changes to the PBS subsidy arrangements for azithromycin. The PBAC considered that decisions on PBS subsidy need to consider implications for the Commonwealth beyond the immediate emergency response to the diphtheria outbreak. </w:t>
            </w:r>
          </w:p>
          <w:p w14:paraId="2FBC7A8B" w14:textId="77777777" w:rsidR="00232172" w:rsidRPr="00B6673C" w:rsidRDefault="00232172" w:rsidP="008A0511">
            <w:pPr>
              <w:rPr>
                <w:rFonts w:asciiTheme="minorHAnsi" w:eastAsiaTheme="minorHAnsi" w:hAnsiTheme="minorHAnsi" w:cstheme="minorHAnsi"/>
                <w:sz w:val="22"/>
                <w:szCs w:val="22"/>
                <w:lang w:eastAsia="en-US"/>
              </w:rPr>
            </w:pPr>
          </w:p>
          <w:p w14:paraId="19580189" w14:textId="1448811A" w:rsidR="00232172" w:rsidRDefault="00232172" w:rsidP="008A0511">
            <w:pPr>
              <w:rPr>
                <w:rFonts w:asciiTheme="minorHAnsi" w:eastAsiaTheme="minorHAnsi" w:hAnsiTheme="minorHAnsi" w:cstheme="minorHAnsi"/>
                <w:sz w:val="22"/>
                <w:szCs w:val="22"/>
                <w:lang w:eastAsia="en-US"/>
              </w:rPr>
            </w:pPr>
            <w:r w:rsidRPr="00B6673C">
              <w:rPr>
                <w:rFonts w:asciiTheme="minorHAnsi" w:eastAsiaTheme="minorHAnsi" w:hAnsiTheme="minorHAnsi" w:cstheme="minorHAnsi"/>
                <w:sz w:val="22"/>
                <w:szCs w:val="22"/>
                <w:lang w:eastAsia="en-US"/>
              </w:rPr>
              <w:t>The Communicable Diseases Network Australia (CDNA) and NT interim guidelines recommend azithromycin as the preferred first-line treatment for confirmed and suspected cases of diphtheria. The NT guidelines recommend treatment with azithromycin 500mg oral daily for 7</w:t>
            </w:r>
            <w:r w:rsidR="00DC0891">
              <w:rPr>
                <w:rFonts w:asciiTheme="minorHAnsi" w:eastAsiaTheme="minorHAnsi" w:hAnsiTheme="minorHAnsi" w:cstheme="minorHAnsi"/>
                <w:sz w:val="22"/>
                <w:szCs w:val="22"/>
                <w:lang w:eastAsia="en-US"/>
              </w:rPr>
              <w:t> </w:t>
            </w:r>
            <w:r w:rsidRPr="00B6673C">
              <w:rPr>
                <w:rFonts w:asciiTheme="minorHAnsi" w:eastAsiaTheme="minorHAnsi" w:hAnsiTheme="minorHAnsi" w:cstheme="minorHAnsi"/>
                <w:sz w:val="22"/>
                <w:szCs w:val="22"/>
                <w:lang w:eastAsia="en-US"/>
              </w:rPr>
              <w:t>days.</w:t>
            </w:r>
          </w:p>
          <w:p w14:paraId="05A45D42" w14:textId="77777777" w:rsidR="004F16B4" w:rsidRPr="00B6673C" w:rsidRDefault="004F16B4" w:rsidP="008A0511">
            <w:pPr>
              <w:rPr>
                <w:rFonts w:asciiTheme="minorHAnsi" w:eastAsiaTheme="minorHAnsi" w:hAnsiTheme="minorHAnsi" w:cstheme="minorHAnsi"/>
                <w:sz w:val="22"/>
                <w:szCs w:val="22"/>
                <w:lang w:eastAsia="en-US"/>
              </w:rPr>
            </w:pPr>
          </w:p>
          <w:p w14:paraId="48A54AC2" w14:textId="35C8152E" w:rsidR="00A05AD0" w:rsidRDefault="004F16B4" w:rsidP="008A0511">
            <w:pPr>
              <w:rPr>
                <w:rFonts w:asciiTheme="minorHAnsi" w:eastAsiaTheme="minorHAnsi" w:hAnsiTheme="minorHAnsi" w:cstheme="minorHAnsi"/>
                <w:sz w:val="22"/>
                <w:szCs w:val="22"/>
                <w:lang w:eastAsia="en-US"/>
              </w:rPr>
            </w:pPr>
            <w:r w:rsidRPr="00B6673C">
              <w:rPr>
                <w:rFonts w:asciiTheme="minorHAnsi" w:eastAsiaTheme="minorHAnsi" w:hAnsiTheme="minorHAnsi" w:cstheme="minorHAnsi"/>
                <w:sz w:val="22"/>
                <w:szCs w:val="22"/>
                <w:lang w:eastAsia="en-US"/>
              </w:rPr>
              <w:lastRenderedPageBreak/>
              <w:t xml:space="preserve">Further work </w:t>
            </w:r>
            <w:r>
              <w:rPr>
                <w:rFonts w:asciiTheme="minorHAnsi" w:eastAsiaTheme="minorHAnsi" w:hAnsiTheme="minorHAnsi" w:cstheme="minorHAnsi"/>
                <w:sz w:val="22"/>
                <w:szCs w:val="22"/>
                <w:lang w:eastAsia="en-US"/>
              </w:rPr>
              <w:t>was</w:t>
            </w:r>
            <w:r w:rsidRPr="00B6673C">
              <w:rPr>
                <w:rFonts w:asciiTheme="minorHAnsi" w:eastAsiaTheme="minorHAnsi" w:hAnsiTheme="minorHAnsi" w:cstheme="minorHAnsi"/>
                <w:sz w:val="22"/>
                <w:szCs w:val="22"/>
                <w:lang w:eastAsia="en-US"/>
              </w:rPr>
              <w:t xml:space="preserve"> considered </w:t>
            </w:r>
            <w:r>
              <w:rPr>
                <w:rFonts w:asciiTheme="minorHAnsi" w:eastAsiaTheme="minorHAnsi" w:hAnsiTheme="minorHAnsi" w:cstheme="minorHAnsi"/>
                <w:sz w:val="22"/>
                <w:szCs w:val="22"/>
                <w:lang w:eastAsia="en-US"/>
              </w:rPr>
              <w:t xml:space="preserve">by the </w:t>
            </w:r>
            <w:r w:rsidRPr="00B6673C">
              <w:rPr>
                <w:rFonts w:asciiTheme="minorHAnsi" w:eastAsiaTheme="minorHAnsi" w:hAnsiTheme="minorHAnsi" w:cstheme="minorHAnsi"/>
                <w:sz w:val="22"/>
                <w:szCs w:val="22"/>
                <w:lang w:eastAsia="en-US"/>
              </w:rPr>
              <w:t>PBAC</w:t>
            </w:r>
            <w:r>
              <w:rPr>
                <w:rFonts w:asciiTheme="minorHAnsi" w:eastAsiaTheme="minorHAnsi" w:hAnsiTheme="minorHAnsi" w:cstheme="minorHAnsi"/>
                <w:sz w:val="22"/>
                <w:szCs w:val="22"/>
                <w:lang w:eastAsia="en-US"/>
              </w:rPr>
              <w:t xml:space="preserve"> at its</w:t>
            </w:r>
            <w:r w:rsidRPr="00B6673C">
              <w:rPr>
                <w:rFonts w:asciiTheme="minorHAnsi" w:eastAsiaTheme="minorHAnsi" w:hAnsiTheme="minorHAnsi" w:cstheme="minorHAnsi"/>
                <w:sz w:val="22"/>
                <w:szCs w:val="22"/>
                <w:lang w:eastAsia="en-US"/>
              </w:rPr>
              <w:t xml:space="preserve"> meeting in July 2026</w:t>
            </w:r>
            <w:r>
              <w:rPr>
                <w:rFonts w:asciiTheme="minorHAnsi" w:eastAsiaTheme="minorHAnsi" w:hAnsiTheme="minorHAnsi" w:cstheme="minorHAnsi"/>
                <w:sz w:val="22"/>
                <w:szCs w:val="22"/>
                <w:lang w:eastAsia="en-US"/>
              </w:rPr>
              <w:t>.</w:t>
            </w:r>
            <w:r w:rsidR="00C57F61">
              <w:rPr>
                <w:rFonts w:asciiTheme="minorHAnsi" w:eastAsiaTheme="minorHAnsi" w:hAnsiTheme="minorHAnsi" w:cstheme="minorHAnsi"/>
                <w:sz w:val="22"/>
                <w:szCs w:val="22"/>
                <w:lang w:eastAsia="en-US"/>
              </w:rPr>
              <w:t xml:space="preserve"> The PBAC </w:t>
            </w:r>
            <w:r w:rsidR="00C57F61" w:rsidRPr="00C57F61">
              <w:rPr>
                <w:rFonts w:asciiTheme="minorHAnsi" w:eastAsiaTheme="minorHAnsi" w:hAnsiTheme="minorHAnsi" w:cstheme="minorHAnsi"/>
                <w:sz w:val="22"/>
                <w:szCs w:val="22"/>
                <w:lang w:eastAsia="en-US"/>
              </w:rPr>
              <w:t>recommended amending the restriction for azithromycin 500 mg tablets, 2</w:t>
            </w:r>
            <w:r w:rsidR="00C57F61" w:rsidRPr="00C57F61">
              <w:rPr>
                <w:rFonts w:asciiTheme="minorHAnsi" w:eastAsiaTheme="minorHAnsi" w:hAnsiTheme="minorHAnsi" w:cstheme="minorHAnsi"/>
                <w:sz w:val="22"/>
                <w:szCs w:val="22"/>
                <w:lang w:eastAsia="en-US"/>
              </w:rPr>
              <w:noBreakHyphen/>
              <w:t>pack, to an unrestricted benefit and increasing the maximum quantity to 8 tablets to support a full 7-day diphtheria treatment course under one co-payment</w:t>
            </w:r>
            <w:r w:rsidR="00C57F61">
              <w:rPr>
                <w:rFonts w:asciiTheme="minorHAnsi" w:eastAsiaTheme="minorHAnsi" w:hAnsiTheme="minorHAnsi" w:cstheme="minorHAnsi"/>
                <w:sz w:val="22"/>
                <w:szCs w:val="22"/>
                <w:lang w:eastAsia="en-US"/>
              </w:rPr>
              <w:t xml:space="preserve">. </w:t>
            </w:r>
            <w:r w:rsidR="00C57F61" w:rsidRPr="00C57F61">
              <w:rPr>
                <w:rFonts w:asciiTheme="minorHAnsi" w:eastAsiaTheme="minorHAnsi" w:hAnsiTheme="minorHAnsi" w:cstheme="minorHAnsi"/>
                <w:sz w:val="22"/>
                <w:szCs w:val="22"/>
                <w:lang w:eastAsia="en-US"/>
              </w:rPr>
              <w:t>The PBAC recognised that an unrestricted benefit listing may result in broader subsidised use than intended because it would also allow prescribing for conditions other than diphtheria and those currently specified on the PBS.</w:t>
            </w:r>
            <w:r w:rsidR="00C57F61">
              <w:rPr>
                <w:rFonts w:asciiTheme="minorHAnsi" w:eastAsiaTheme="minorHAnsi" w:hAnsiTheme="minorHAnsi" w:cstheme="minorHAnsi"/>
                <w:sz w:val="22"/>
                <w:szCs w:val="22"/>
                <w:lang w:eastAsia="en-US"/>
              </w:rPr>
              <w:t xml:space="preserve"> </w:t>
            </w:r>
            <w:r w:rsidR="00C57F61" w:rsidRPr="00C57F61">
              <w:rPr>
                <w:rFonts w:asciiTheme="minorHAnsi" w:eastAsiaTheme="minorHAnsi" w:hAnsiTheme="minorHAnsi" w:cstheme="minorHAnsi"/>
                <w:sz w:val="22"/>
                <w:szCs w:val="22"/>
                <w:lang w:eastAsia="en-US"/>
              </w:rPr>
              <w:t xml:space="preserve">The PBAC requested that the matter be brought back for its consideration before the end of the 12-month period to assess PBS utilisation of azithromycin </w:t>
            </w:r>
            <w:proofErr w:type="gramStart"/>
            <w:r w:rsidR="00C57F61" w:rsidRPr="00C57F61">
              <w:rPr>
                <w:rFonts w:asciiTheme="minorHAnsi" w:eastAsiaTheme="minorHAnsi" w:hAnsiTheme="minorHAnsi" w:cstheme="minorHAnsi"/>
                <w:sz w:val="22"/>
                <w:szCs w:val="22"/>
                <w:lang w:eastAsia="en-US"/>
              </w:rPr>
              <w:t>as a result of</w:t>
            </w:r>
            <w:proofErr w:type="gramEnd"/>
            <w:r w:rsidR="00C57F61" w:rsidRPr="00C57F61">
              <w:rPr>
                <w:rFonts w:asciiTheme="minorHAnsi" w:eastAsiaTheme="minorHAnsi" w:hAnsiTheme="minorHAnsi" w:cstheme="minorHAnsi"/>
                <w:sz w:val="22"/>
                <w:szCs w:val="22"/>
                <w:lang w:eastAsia="en-US"/>
              </w:rPr>
              <w:t xml:space="preserve"> the changes and whether the changes should be extended for a longer </w:t>
            </w:r>
            <w:proofErr w:type="gramStart"/>
            <w:r w:rsidR="00C57F61" w:rsidRPr="00C57F61">
              <w:rPr>
                <w:rFonts w:asciiTheme="minorHAnsi" w:eastAsiaTheme="minorHAnsi" w:hAnsiTheme="minorHAnsi" w:cstheme="minorHAnsi"/>
                <w:sz w:val="22"/>
                <w:szCs w:val="22"/>
                <w:lang w:eastAsia="en-US"/>
              </w:rPr>
              <w:t>time period</w:t>
            </w:r>
            <w:proofErr w:type="gramEnd"/>
            <w:r w:rsidR="00C57F61" w:rsidRPr="00C57F61">
              <w:rPr>
                <w:rFonts w:asciiTheme="minorHAnsi" w:eastAsiaTheme="minorHAnsi" w:hAnsiTheme="minorHAnsi" w:cstheme="minorHAnsi"/>
                <w:sz w:val="22"/>
                <w:szCs w:val="22"/>
                <w:lang w:eastAsia="en-US"/>
              </w:rPr>
              <w:t>.</w:t>
            </w:r>
          </w:p>
          <w:p w14:paraId="1524B08C" w14:textId="77777777" w:rsidR="004F16B4" w:rsidRPr="00B6673C" w:rsidRDefault="004F16B4" w:rsidP="008A0511">
            <w:pPr>
              <w:rPr>
                <w:rFonts w:asciiTheme="minorHAnsi" w:eastAsiaTheme="minorHAnsi" w:hAnsiTheme="minorHAnsi" w:cstheme="minorHAnsi"/>
                <w:sz w:val="22"/>
                <w:szCs w:val="22"/>
                <w:lang w:eastAsia="en-US"/>
              </w:rPr>
            </w:pPr>
          </w:p>
          <w:p w14:paraId="4F217103" w14:textId="77777777" w:rsidR="00A05AD0" w:rsidRPr="00B6673C" w:rsidRDefault="00A05AD0" w:rsidP="008A0511">
            <w:pPr>
              <w:rPr>
                <w:rFonts w:asciiTheme="minorHAnsi" w:eastAsiaTheme="minorHAnsi" w:hAnsiTheme="minorHAnsi" w:cstheme="minorHAnsi"/>
                <w:b/>
                <w:bCs/>
                <w:sz w:val="22"/>
                <w:szCs w:val="22"/>
                <w:lang w:eastAsia="en-US"/>
              </w:rPr>
            </w:pPr>
            <w:r w:rsidRPr="00B6673C">
              <w:rPr>
                <w:rFonts w:asciiTheme="minorHAnsi" w:eastAsiaTheme="minorHAnsi" w:hAnsiTheme="minorHAnsi" w:cstheme="minorHAnsi"/>
                <w:b/>
                <w:bCs/>
                <w:sz w:val="22"/>
                <w:szCs w:val="22"/>
                <w:lang w:eastAsia="en-US"/>
              </w:rPr>
              <w:t>Next Steps</w:t>
            </w:r>
          </w:p>
          <w:p w14:paraId="538971A6" w14:textId="0BD1640F" w:rsidR="00C6732F" w:rsidRPr="00B6673C" w:rsidRDefault="00C57F61" w:rsidP="008A0511">
            <w:pPr>
              <w:rPr>
                <w:rFonts w:asciiTheme="minorHAnsi" w:eastAsiaTheme="minorHAnsi" w:hAnsiTheme="minorHAnsi" w:cstheme="minorHAnsi"/>
                <w:b/>
                <w:bCs/>
                <w:sz w:val="22"/>
                <w:szCs w:val="22"/>
                <w:lang w:eastAsia="en-US"/>
              </w:rPr>
            </w:pPr>
            <w:r>
              <w:rPr>
                <w:rFonts w:asciiTheme="minorHAnsi" w:eastAsiaTheme="minorEastAsia" w:hAnsiTheme="minorHAnsi" w:cstheme="minorBidi"/>
                <w:sz w:val="22"/>
                <w:szCs w:val="22"/>
                <w:lang w:eastAsia="en-US"/>
              </w:rPr>
              <w:t xml:space="preserve">The PBAC recommended changes to the </w:t>
            </w:r>
            <w:r w:rsidRPr="00C57F61">
              <w:rPr>
                <w:rFonts w:asciiTheme="minorHAnsi" w:eastAsiaTheme="minorHAnsi" w:hAnsiTheme="minorHAnsi" w:cstheme="minorHAnsi"/>
                <w:sz w:val="22"/>
                <w:szCs w:val="22"/>
                <w:lang w:eastAsia="en-US"/>
              </w:rPr>
              <w:t xml:space="preserve">azithromycin </w:t>
            </w:r>
            <w:r>
              <w:rPr>
                <w:rFonts w:asciiTheme="minorHAnsi" w:eastAsiaTheme="minorHAnsi" w:hAnsiTheme="minorHAnsi" w:cstheme="minorHAnsi"/>
                <w:sz w:val="22"/>
                <w:szCs w:val="22"/>
                <w:lang w:eastAsia="en-US"/>
              </w:rPr>
              <w:t xml:space="preserve">listing </w:t>
            </w:r>
            <w:r>
              <w:rPr>
                <w:rFonts w:asciiTheme="minorHAnsi" w:eastAsiaTheme="minorEastAsia" w:hAnsiTheme="minorHAnsi" w:cstheme="minorBidi"/>
                <w:sz w:val="22"/>
                <w:szCs w:val="22"/>
                <w:lang w:eastAsia="en-US"/>
              </w:rPr>
              <w:t xml:space="preserve">will be implemented </w:t>
            </w:r>
            <w:r w:rsidRPr="000A20DC">
              <w:rPr>
                <w:rFonts w:asciiTheme="minorHAnsi" w:eastAsiaTheme="minorHAnsi" w:hAnsiTheme="minorHAnsi" w:cstheme="minorHAnsi"/>
                <w:sz w:val="22"/>
                <w:szCs w:val="22"/>
                <w:lang w:eastAsia="en-US"/>
              </w:rPr>
              <w:t>as part of upcoming monthly changes to the PBS schedule</w:t>
            </w:r>
            <w:r>
              <w:rPr>
                <w:rFonts w:asciiTheme="minorHAnsi" w:eastAsiaTheme="minorHAnsi" w:hAnsiTheme="minorHAnsi" w:cstheme="minorHAnsi"/>
                <w:sz w:val="22"/>
                <w:szCs w:val="22"/>
                <w:lang w:eastAsia="en-US"/>
              </w:rPr>
              <w:t xml:space="preserve"> and remain in place for 12 months, </w:t>
            </w:r>
            <w:r w:rsidRPr="00C57F61">
              <w:rPr>
                <w:rFonts w:asciiTheme="minorHAnsi" w:eastAsiaTheme="minorHAnsi" w:hAnsiTheme="minorHAnsi" w:cstheme="minorHAnsi"/>
                <w:sz w:val="22"/>
                <w:szCs w:val="22"/>
                <w:lang w:eastAsia="en-US"/>
              </w:rPr>
              <w:t>with a review before the end of that period.</w:t>
            </w:r>
          </w:p>
        </w:tc>
        <w:tc>
          <w:tcPr>
            <w:tcW w:w="2873" w:type="dxa"/>
            <w:tcBorders>
              <w:top w:val="single" w:sz="4" w:space="0" w:color="auto"/>
              <w:left w:val="single" w:sz="4" w:space="0" w:color="auto"/>
              <w:bottom w:val="single" w:sz="4" w:space="0" w:color="auto"/>
              <w:right w:val="single" w:sz="4" w:space="0" w:color="auto"/>
            </w:tcBorders>
          </w:tcPr>
          <w:p w14:paraId="5AD9CEB6" w14:textId="7ADB91EA" w:rsidR="00B84472" w:rsidRPr="00B6673C" w:rsidRDefault="00A05AD0" w:rsidP="008A0511">
            <w:pPr>
              <w:pStyle w:val="ListParagraph"/>
              <w:numPr>
                <w:ilvl w:val="0"/>
                <w:numId w:val="25"/>
              </w:numPr>
              <w:rPr>
                <w:rFonts w:asciiTheme="minorHAnsi" w:eastAsiaTheme="minorHAnsi" w:hAnsiTheme="minorHAnsi" w:cstheme="minorHAnsi"/>
                <w:sz w:val="22"/>
                <w:szCs w:val="22"/>
                <w:lang w:eastAsia="en-US"/>
              </w:rPr>
            </w:pPr>
            <w:r w:rsidRPr="00B6673C">
              <w:rPr>
                <w:rFonts w:asciiTheme="minorHAnsi" w:eastAsiaTheme="minorHAnsi" w:hAnsiTheme="minorHAnsi" w:cstheme="minorHAnsi"/>
                <w:sz w:val="22"/>
                <w:szCs w:val="22"/>
                <w:lang w:eastAsia="en-US"/>
              </w:rPr>
              <w:lastRenderedPageBreak/>
              <w:t>Azithromycin</w:t>
            </w:r>
          </w:p>
        </w:tc>
      </w:tr>
      <w:tr w:rsidR="00637327" w:rsidRPr="000A20DC" w14:paraId="2BE3F3AA" w14:textId="77777777" w:rsidTr="61D5D7E7">
        <w:trPr>
          <w:trHeight w:val="300"/>
        </w:trPr>
        <w:tc>
          <w:tcPr>
            <w:tcW w:w="2542" w:type="dxa"/>
            <w:tcBorders>
              <w:top w:val="single" w:sz="4" w:space="0" w:color="auto"/>
              <w:left w:val="single" w:sz="4" w:space="0" w:color="auto"/>
              <w:bottom w:val="single" w:sz="4" w:space="0" w:color="auto"/>
              <w:right w:val="single" w:sz="4" w:space="0" w:color="auto"/>
            </w:tcBorders>
          </w:tcPr>
          <w:p w14:paraId="1B7E8F00" w14:textId="7244333C" w:rsidR="00637327" w:rsidRPr="00E54E9F" w:rsidRDefault="00637327" w:rsidP="00637327">
            <w:pPr>
              <w:rPr>
                <w:rFonts w:asciiTheme="minorHAnsi" w:eastAsiaTheme="minorHAnsi" w:hAnsiTheme="minorHAnsi" w:cstheme="minorHAnsi"/>
                <w:sz w:val="22"/>
                <w:szCs w:val="22"/>
                <w:lang w:eastAsia="en-US"/>
              </w:rPr>
            </w:pPr>
            <w:r w:rsidRPr="002F17EB">
              <w:rPr>
                <w:rFonts w:asciiTheme="minorHAnsi" w:eastAsiaTheme="minorHAnsi" w:hAnsiTheme="minorHAnsi" w:cstheme="minorHAnsi"/>
                <w:sz w:val="22"/>
                <w:szCs w:val="22"/>
                <w:lang w:eastAsia="en-US"/>
              </w:rPr>
              <w:t>Anaphylaxis</w:t>
            </w:r>
          </w:p>
        </w:tc>
        <w:tc>
          <w:tcPr>
            <w:tcW w:w="8745" w:type="dxa"/>
            <w:tcBorders>
              <w:top w:val="single" w:sz="4" w:space="0" w:color="auto"/>
              <w:left w:val="single" w:sz="4" w:space="0" w:color="auto"/>
              <w:bottom w:val="single" w:sz="4" w:space="0" w:color="auto"/>
              <w:right w:val="single" w:sz="4" w:space="0" w:color="auto"/>
            </w:tcBorders>
          </w:tcPr>
          <w:p w14:paraId="688B33A6" w14:textId="77777777" w:rsidR="00637327" w:rsidRPr="0001448E" w:rsidRDefault="00637327" w:rsidP="00637327">
            <w:pPr>
              <w:keepNext/>
              <w:keepLines/>
              <w:rPr>
                <w:rFonts w:asciiTheme="minorHAnsi" w:eastAsiaTheme="minorHAnsi" w:hAnsiTheme="minorHAnsi" w:cstheme="minorHAnsi"/>
                <w:b/>
                <w:bCs/>
                <w:sz w:val="22"/>
                <w:szCs w:val="22"/>
                <w:lang w:eastAsia="en-US"/>
              </w:rPr>
            </w:pPr>
            <w:r w:rsidRPr="0001448E">
              <w:rPr>
                <w:rFonts w:asciiTheme="minorHAnsi" w:eastAsiaTheme="minorHAnsi" w:hAnsiTheme="minorHAnsi" w:cstheme="minorHAnsi"/>
                <w:b/>
                <w:bCs/>
                <w:sz w:val="22"/>
                <w:szCs w:val="22"/>
                <w:lang w:eastAsia="en-US"/>
              </w:rPr>
              <w:t xml:space="preserve">Barriers to prescribing of adrenaline for anaphylaxis </w:t>
            </w:r>
          </w:p>
          <w:p w14:paraId="3F4966AF" w14:textId="77777777" w:rsidR="00637327" w:rsidRPr="0001448E" w:rsidRDefault="00637327" w:rsidP="00637327">
            <w:pPr>
              <w:keepNext/>
              <w:keepLines/>
              <w:rPr>
                <w:rFonts w:asciiTheme="minorHAnsi" w:eastAsiaTheme="minorHAnsi" w:hAnsiTheme="minorHAnsi" w:cstheme="minorHAnsi"/>
                <w:b/>
                <w:bCs/>
                <w:sz w:val="22"/>
                <w:szCs w:val="22"/>
                <w:lang w:eastAsia="en-US"/>
              </w:rPr>
            </w:pPr>
          </w:p>
          <w:p w14:paraId="7DF51951" w14:textId="77777777" w:rsidR="00637327" w:rsidRPr="0001448E" w:rsidRDefault="00637327" w:rsidP="00637327">
            <w:pPr>
              <w:keepNext/>
              <w:keepLines/>
              <w:rPr>
                <w:rFonts w:asciiTheme="minorHAnsi" w:eastAsiaTheme="minorHAnsi" w:hAnsiTheme="minorHAnsi" w:cstheme="minorHAnsi"/>
                <w:b/>
                <w:bCs/>
                <w:sz w:val="22"/>
                <w:szCs w:val="22"/>
                <w:lang w:eastAsia="en-US"/>
              </w:rPr>
            </w:pPr>
            <w:r w:rsidRPr="0001448E">
              <w:rPr>
                <w:rFonts w:asciiTheme="minorHAnsi" w:eastAsiaTheme="minorHAnsi" w:hAnsiTheme="minorHAnsi" w:cstheme="minorHAnsi"/>
                <w:b/>
                <w:bCs/>
                <w:sz w:val="22"/>
                <w:szCs w:val="22"/>
                <w:lang w:eastAsia="en-US"/>
              </w:rPr>
              <w:t>Background</w:t>
            </w:r>
          </w:p>
          <w:p w14:paraId="3ED93F26" w14:textId="77777777" w:rsidR="00637327" w:rsidRPr="0001448E" w:rsidRDefault="00637327" w:rsidP="00637327">
            <w:pPr>
              <w:keepNext/>
              <w:keepLines/>
              <w:rPr>
                <w:rFonts w:asciiTheme="minorHAnsi" w:eastAsiaTheme="minorHAnsi" w:hAnsiTheme="minorHAnsi" w:cstheme="minorHAnsi"/>
                <w:sz w:val="22"/>
                <w:szCs w:val="22"/>
                <w:lang w:eastAsia="en-US"/>
              </w:rPr>
            </w:pPr>
            <w:r w:rsidRPr="0001448E">
              <w:rPr>
                <w:rFonts w:asciiTheme="minorHAnsi" w:eastAsiaTheme="minorHAnsi" w:hAnsiTheme="minorHAnsi" w:cstheme="minorHAnsi"/>
                <w:sz w:val="22"/>
                <w:szCs w:val="22"/>
                <w:lang w:eastAsia="en-US"/>
              </w:rPr>
              <w:t>In March 2026, the PBAC considered a Category 2 submission from Seqirus Australia Pty Ltd requesting PBS listing of adrenaline nasal spray (</w:t>
            </w:r>
            <w:proofErr w:type="spellStart"/>
            <w:r w:rsidRPr="0001448E">
              <w:rPr>
                <w:rFonts w:asciiTheme="minorHAnsi" w:eastAsiaTheme="minorHAnsi" w:hAnsiTheme="minorHAnsi" w:cstheme="minorHAnsi"/>
                <w:sz w:val="22"/>
                <w:szCs w:val="22"/>
                <w:lang w:eastAsia="en-US"/>
              </w:rPr>
              <w:t>neffy</w:t>
            </w:r>
            <w:proofErr w:type="spellEnd"/>
            <w:r w:rsidRPr="0001448E">
              <w:rPr>
                <w:rFonts w:asciiTheme="minorHAnsi" w:eastAsiaTheme="minorHAnsi" w:hAnsiTheme="minorHAnsi" w:cstheme="minorHAnsi"/>
                <w:sz w:val="22"/>
                <w:szCs w:val="22"/>
                <w:lang w:eastAsia="en-US"/>
              </w:rPr>
              <w:t>®) for the treatment of acute severe allergic reactions in children or adults at significant risk of anaphylaxis. In making a positive recommendation for this submission, the PBAC requested that the Department review barriers to access under the current restrictions for adrenaline in relation to prescriber type and discharge from hospital or an emergency department. It was noted that these requirements may create access issues, particularly in rural and remote locations</w:t>
            </w:r>
            <w:r>
              <w:rPr>
                <w:rFonts w:asciiTheme="minorHAnsi" w:eastAsiaTheme="minorHAnsi" w:hAnsiTheme="minorHAnsi" w:cstheme="minorHAnsi"/>
                <w:sz w:val="22"/>
                <w:szCs w:val="22"/>
                <w:lang w:eastAsia="en-US"/>
              </w:rPr>
              <w:t>,</w:t>
            </w:r>
            <w:r w:rsidRPr="0001448E">
              <w:rPr>
                <w:rFonts w:asciiTheme="minorHAnsi" w:eastAsiaTheme="minorHAnsi" w:hAnsiTheme="minorHAnsi" w:cstheme="minorHAnsi"/>
                <w:sz w:val="22"/>
                <w:szCs w:val="22"/>
                <w:lang w:eastAsia="en-US"/>
              </w:rPr>
              <w:t xml:space="preserve"> where access to specialist prescribers and emergency treatment settings is difficult. </w:t>
            </w:r>
          </w:p>
          <w:p w14:paraId="2F585F0F" w14:textId="77777777" w:rsidR="00637327" w:rsidRPr="0001448E" w:rsidRDefault="00637327" w:rsidP="00637327">
            <w:pPr>
              <w:keepNext/>
              <w:keepLines/>
              <w:rPr>
                <w:rFonts w:asciiTheme="minorHAnsi" w:eastAsiaTheme="minorHAnsi" w:hAnsiTheme="minorHAnsi" w:cstheme="minorHAnsi"/>
                <w:b/>
                <w:bCs/>
                <w:sz w:val="22"/>
                <w:szCs w:val="22"/>
                <w:lang w:eastAsia="en-US"/>
              </w:rPr>
            </w:pPr>
          </w:p>
          <w:p w14:paraId="6C439C83" w14:textId="77777777" w:rsidR="00637327" w:rsidRPr="0001448E" w:rsidRDefault="00637327" w:rsidP="00637327">
            <w:pPr>
              <w:keepNext/>
              <w:keepLines/>
              <w:rPr>
                <w:rFonts w:asciiTheme="minorHAnsi" w:eastAsiaTheme="minorHAnsi" w:hAnsiTheme="minorHAnsi" w:cstheme="minorHAnsi"/>
                <w:b/>
                <w:bCs/>
                <w:sz w:val="22"/>
                <w:szCs w:val="22"/>
                <w:lang w:eastAsia="en-US"/>
              </w:rPr>
            </w:pPr>
            <w:r w:rsidRPr="0001448E">
              <w:rPr>
                <w:rFonts w:asciiTheme="minorHAnsi" w:eastAsiaTheme="minorHAnsi" w:hAnsiTheme="minorHAnsi" w:cstheme="minorHAnsi"/>
                <w:b/>
                <w:bCs/>
                <w:sz w:val="22"/>
                <w:szCs w:val="22"/>
                <w:lang w:eastAsia="en-US"/>
              </w:rPr>
              <w:t>Status</w:t>
            </w:r>
          </w:p>
          <w:p w14:paraId="78D8342A" w14:textId="77777777" w:rsidR="00637327" w:rsidRPr="0001448E" w:rsidRDefault="00637327" w:rsidP="00637327">
            <w:pPr>
              <w:keepNext/>
              <w:keepLines/>
              <w:rPr>
                <w:rFonts w:asciiTheme="minorHAnsi" w:eastAsiaTheme="minorHAnsi" w:hAnsiTheme="minorHAnsi" w:cstheme="minorHAnsi"/>
                <w:sz w:val="22"/>
                <w:szCs w:val="22"/>
                <w:lang w:eastAsia="en-US"/>
              </w:rPr>
            </w:pPr>
            <w:r w:rsidRPr="0001448E">
              <w:rPr>
                <w:rFonts w:asciiTheme="minorHAnsi" w:eastAsiaTheme="minorHAnsi" w:hAnsiTheme="minorHAnsi" w:cstheme="minorHAnsi"/>
                <w:sz w:val="22"/>
                <w:szCs w:val="22"/>
                <w:lang w:eastAsia="en-US"/>
              </w:rPr>
              <w:t>The PBAC requested the PBS restrictions for adrenaline be reviewed to consider barriers to access as part of a separate PMR project for future consideration.</w:t>
            </w:r>
            <w:r>
              <w:rPr>
                <w:rFonts w:asciiTheme="minorHAnsi" w:eastAsiaTheme="minorHAnsi" w:hAnsiTheme="minorHAnsi" w:cstheme="minorHAnsi"/>
                <w:sz w:val="22"/>
                <w:szCs w:val="22"/>
                <w:lang w:eastAsia="en-US"/>
              </w:rPr>
              <w:t xml:space="preserve"> T</w:t>
            </w:r>
            <w:r w:rsidRPr="0001448E">
              <w:rPr>
                <w:rFonts w:asciiTheme="minorHAnsi" w:eastAsiaTheme="minorHAnsi" w:hAnsiTheme="minorHAnsi" w:cstheme="minorHAnsi"/>
                <w:sz w:val="22"/>
                <w:szCs w:val="22"/>
                <w:lang w:eastAsia="en-US"/>
              </w:rPr>
              <w:t xml:space="preserve">he Department will seek feedback from relevant clinical groups on barriers to prescribing of adrenaline for anaphylaxis. </w:t>
            </w:r>
          </w:p>
          <w:p w14:paraId="195622BA" w14:textId="77777777" w:rsidR="00637327" w:rsidRPr="0001448E" w:rsidRDefault="00637327" w:rsidP="00637327">
            <w:pPr>
              <w:keepNext/>
              <w:keepLines/>
              <w:rPr>
                <w:rFonts w:asciiTheme="minorHAnsi" w:eastAsiaTheme="minorHAnsi" w:hAnsiTheme="minorHAnsi" w:cstheme="minorHAnsi"/>
                <w:b/>
                <w:bCs/>
                <w:sz w:val="22"/>
                <w:szCs w:val="22"/>
                <w:lang w:eastAsia="en-US"/>
              </w:rPr>
            </w:pPr>
          </w:p>
          <w:p w14:paraId="187EE99A" w14:textId="77777777" w:rsidR="00637327" w:rsidRPr="0001448E" w:rsidRDefault="00637327" w:rsidP="00637327">
            <w:pPr>
              <w:keepNext/>
              <w:keepLines/>
              <w:rPr>
                <w:rFonts w:asciiTheme="minorHAnsi" w:eastAsiaTheme="minorHAnsi" w:hAnsiTheme="minorHAnsi" w:cstheme="minorHAnsi"/>
                <w:b/>
                <w:bCs/>
                <w:sz w:val="22"/>
                <w:szCs w:val="22"/>
                <w:lang w:eastAsia="en-US"/>
              </w:rPr>
            </w:pPr>
            <w:r w:rsidRPr="0001448E">
              <w:rPr>
                <w:rFonts w:asciiTheme="minorHAnsi" w:eastAsiaTheme="minorHAnsi" w:hAnsiTheme="minorHAnsi" w:cstheme="minorHAnsi"/>
                <w:b/>
                <w:bCs/>
                <w:sz w:val="22"/>
                <w:szCs w:val="22"/>
                <w:lang w:eastAsia="en-US"/>
              </w:rPr>
              <w:t>Next Steps</w:t>
            </w:r>
          </w:p>
          <w:p w14:paraId="6140C412" w14:textId="57D47CFB" w:rsidR="00637327" w:rsidRPr="00B6673C" w:rsidRDefault="00637327" w:rsidP="00637327">
            <w:pPr>
              <w:rPr>
                <w:rFonts w:asciiTheme="minorHAnsi" w:eastAsiaTheme="minorHAnsi" w:hAnsiTheme="minorHAnsi" w:cstheme="minorHAnsi"/>
                <w:b/>
                <w:bCs/>
                <w:sz w:val="22"/>
                <w:szCs w:val="22"/>
                <w:lang w:eastAsia="en-US"/>
              </w:rPr>
            </w:pPr>
            <w:r w:rsidRPr="0001448E">
              <w:rPr>
                <w:rFonts w:asciiTheme="minorHAnsi" w:eastAsiaTheme="minorHAnsi" w:hAnsiTheme="minorHAnsi" w:cstheme="minorHAnsi"/>
                <w:sz w:val="22"/>
                <w:szCs w:val="22"/>
                <w:lang w:eastAsia="en-US"/>
              </w:rPr>
              <w:t>Stakeholder feedback and proposed options will be presented to the PBAC at a subsequent meeting.</w:t>
            </w:r>
          </w:p>
        </w:tc>
        <w:tc>
          <w:tcPr>
            <w:tcW w:w="2873" w:type="dxa"/>
            <w:tcBorders>
              <w:top w:val="single" w:sz="4" w:space="0" w:color="auto"/>
              <w:left w:val="single" w:sz="4" w:space="0" w:color="auto"/>
              <w:bottom w:val="single" w:sz="4" w:space="0" w:color="auto"/>
              <w:right w:val="single" w:sz="4" w:space="0" w:color="auto"/>
            </w:tcBorders>
          </w:tcPr>
          <w:p w14:paraId="0CAEE06A" w14:textId="38FCF84D" w:rsidR="00637327" w:rsidRPr="00B6673C" w:rsidRDefault="00637327" w:rsidP="00637327">
            <w:pPr>
              <w:pStyle w:val="ListParagraph"/>
              <w:numPr>
                <w:ilvl w:val="0"/>
                <w:numId w:val="25"/>
              </w:numP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A</w:t>
            </w:r>
            <w:r w:rsidRPr="00E54E9F">
              <w:rPr>
                <w:rFonts w:asciiTheme="minorHAnsi" w:eastAsiaTheme="minorHAnsi" w:hAnsiTheme="minorHAnsi" w:cstheme="minorHAnsi"/>
                <w:sz w:val="22"/>
                <w:szCs w:val="22"/>
                <w:lang w:eastAsia="en-US"/>
              </w:rPr>
              <w:t>drenaline</w:t>
            </w:r>
          </w:p>
        </w:tc>
      </w:tr>
    </w:tbl>
    <w:p w14:paraId="03CCB4AC" w14:textId="77777777" w:rsidR="003A68AE" w:rsidRPr="00131C8E" w:rsidRDefault="003A68AE" w:rsidP="00C04ED9">
      <w:pPr>
        <w:rPr>
          <w:rFonts w:asciiTheme="minorHAnsi" w:hAnsiTheme="minorHAnsi" w:cstheme="minorHAnsi"/>
          <w:sz w:val="10"/>
          <w:szCs w:val="10"/>
        </w:rPr>
      </w:pPr>
    </w:p>
    <w:sectPr w:rsidR="003A68AE" w:rsidRPr="00131C8E" w:rsidSect="0097113B">
      <w:headerReference w:type="even" r:id="rId25"/>
      <w:headerReference w:type="default" r:id="rId26"/>
      <w:footerReference w:type="even" r:id="rId27"/>
      <w:footerReference w:type="default" r:id="rId28"/>
      <w:headerReference w:type="first" r:id="rId29"/>
      <w:footerReference w:type="first" r:id="rId30"/>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A9B2F" w14:textId="77777777" w:rsidR="00A747EB" w:rsidRDefault="00A747EB" w:rsidP="00C27D55">
      <w:r>
        <w:separator/>
      </w:r>
    </w:p>
  </w:endnote>
  <w:endnote w:type="continuationSeparator" w:id="0">
    <w:p w14:paraId="70810306" w14:textId="77777777" w:rsidR="00A747EB" w:rsidRDefault="00A747EB" w:rsidP="00C2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FF76" w14:textId="27AAF8EB" w:rsidR="00E049FC" w:rsidRDefault="00545394">
    <w:pPr>
      <w:pStyle w:val="Footer"/>
    </w:pPr>
    <w:r>
      <w:rPr>
        <w:noProof/>
      </w:rPr>
      <mc:AlternateContent>
        <mc:Choice Requires="wps">
          <w:drawing>
            <wp:anchor distT="0" distB="0" distL="0" distR="0" simplePos="0" relativeHeight="251669509" behindDoc="0" locked="0" layoutInCell="1" allowOverlap="1" wp14:anchorId="651C10C8" wp14:editId="14601DE6">
              <wp:simplePos x="635" y="635"/>
              <wp:positionH relativeFrom="page">
                <wp:align>center</wp:align>
              </wp:positionH>
              <wp:positionV relativeFrom="page">
                <wp:align>bottom</wp:align>
              </wp:positionV>
              <wp:extent cx="622300" cy="376555"/>
              <wp:effectExtent l="0" t="0" r="6350" b="0"/>
              <wp:wrapNone/>
              <wp:docPr id="188860279"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FCEDEA" w14:textId="1C40178F"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1C10C8" id="_x0000_t202" coordsize="21600,21600" o:spt="202" path="m,l,21600r21600,l21600,xe">
              <v:stroke joinstyle="miter"/>
              <v:path gradientshapeok="t" o:connecttype="rect"/>
            </v:shapetype>
            <v:shape id="Text Box 17" o:spid="_x0000_s1028" type="#_x0000_t202" alt="OFFICIAL" style="position:absolute;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2FCEDEA" w14:textId="1C40178F"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AE60" w14:textId="135889BF" w:rsidR="00E049FC" w:rsidRDefault="00545394">
    <w:pPr>
      <w:pStyle w:val="Footer"/>
    </w:pPr>
    <w:r>
      <w:rPr>
        <w:noProof/>
      </w:rPr>
      <mc:AlternateContent>
        <mc:Choice Requires="wps">
          <w:drawing>
            <wp:anchor distT="0" distB="0" distL="0" distR="0" simplePos="0" relativeHeight="251670533" behindDoc="0" locked="0" layoutInCell="1" allowOverlap="1" wp14:anchorId="46A91624" wp14:editId="7D59D4A6">
              <wp:simplePos x="457200" y="6934200"/>
              <wp:positionH relativeFrom="page">
                <wp:align>center</wp:align>
              </wp:positionH>
              <wp:positionV relativeFrom="page">
                <wp:align>bottom</wp:align>
              </wp:positionV>
              <wp:extent cx="622300" cy="376555"/>
              <wp:effectExtent l="0" t="0" r="6350" b="0"/>
              <wp:wrapNone/>
              <wp:docPr id="1737872359"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C5EEE8" w14:textId="0D6B2642"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A91624" id="_x0000_t202" coordsize="21600,21600" o:spt="202" path="m,l,21600r21600,l21600,xe">
              <v:stroke joinstyle="miter"/>
              <v:path gradientshapeok="t" o:connecttype="rect"/>
            </v:shapetype>
            <v:shape id="Text Box 18" o:spid="_x0000_s1029" type="#_x0000_t202" alt="OFFICIAL" style="position:absolute;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DC5EEE8" w14:textId="0D6B2642"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6741" w14:textId="4B12FEE7" w:rsidR="00E049FC" w:rsidRDefault="00545394">
    <w:pPr>
      <w:pStyle w:val="Footer"/>
    </w:pPr>
    <w:r>
      <w:rPr>
        <w:noProof/>
      </w:rPr>
      <mc:AlternateContent>
        <mc:Choice Requires="wps">
          <w:drawing>
            <wp:anchor distT="0" distB="0" distL="0" distR="0" simplePos="0" relativeHeight="251668485" behindDoc="0" locked="0" layoutInCell="1" allowOverlap="1" wp14:anchorId="32C9BA9C" wp14:editId="1591B739">
              <wp:simplePos x="635" y="635"/>
              <wp:positionH relativeFrom="page">
                <wp:align>center</wp:align>
              </wp:positionH>
              <wp:positionV relativeFrom="page">
                <wp:align>bottom</wp:align>
              </wp:positionV>
              <wp:extent cx="622300" cy="376555"/>
              <wp:effectExtent l="0" t="0" r="6350" b="0"/>
              <wp:wrapNone/>
              <wp:docPr id="1549096184"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8364C9" w14:textId="64BE57DF"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C9BA9C" id="_x0000_t202" coordsize="21600,21600" o:spt="202" path="m,l,21600r21600,l21600,xe">
              <v:stroke joinstyle="miter"/>
              <v:path gradientshapeok="t" o:connecttype="rect"/>
            </v:shapetype>
            <v:shape id="Text Box 16" o:spid="_x0000_s1031" type="#_x0000_t202" alt="OFFICIAL" style="position:absolute;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6D8364C9" w14:textId="64BE57DF"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64D7D" w14:textId="77777777" w:rsidR="00A747EB" w:rsidRDefault="00A747EB" w:rsidP="00C27D55">
      <w:r>
        <w:separator/>
      </w:r>
    </w:p>
  </w:footnote>
  <w:footnote w:type="continuationSeparator" w:id="0">
    <w:p w14:paraId="2A81EF68" w14:textId="77777777" w:rsidR="00A747EB" w:rsidRDefault="00A747EB" w:rsidP="00C27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38DA" w14:textId="1BA0A5E0" w:rsidR="00E049FC" w:rsidRDefault="00545394">
    <w:pPr>
      <w:pStyle w:val="Header"/>
    </w:pPr>
    <w:r>
      <w:rPr>
        <w:noProof/>
      </w:rPr>
      <mc:AlternateContent>
        <mc:Choice Requires="wps">
          <w:drawing>
            <wp:anchor distT="0" distB="0" distL="0" distR="0" simplePos="0" relativeHeight="251666437" behindDoc="0" locked="0" layoutInCell="1" allowOverlap="1" wp14:anchorId="7D084CC7" wp14:editId="35B27999">
              <wp:simplePos x="635" y="635"/>
              <wp:positionH relativeFrom="page">
                <wp:align>center</wp:align>
              </wp:positionH>
              <wp:positionV relativeFrom="page">
                <wp:align>top</wp:align>
              </wp:positionV>
              <wp:extent cx="622300" cy="376555"/>
              <wp:effectExtent l="0" t="0" r="6350" b="4445"/>
              <wp:wrapNone/>
              <wp:docPr id="1311233206"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0D95995" w14:textId="3D4E76E8"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084CC7" id="_x0000_t202" coordsize="21600,21600" o:spt="202" path="m,l,21600r21600,l21600,xe">
              <v:stroke joinstyle="miter"/>
              <v:path gradientshapeok="t" o:connecttype="rect"/>
            </v:shapetype>
            <v:shape id="Text Box 14" o:spid="_x0000_s1026" type="#_x0000_t202" alt="OFFICIAL" style="position:absolute;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50D95995" w14:textId="3D4E76E8"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88B1" w14:textId="78B7DCF1" w:rsidR="00E049FC" w:rsidRDefault="00545394">
    <w:pPr>
      <w:pStyle w:val="Header"/>
    </w:pPr>
    <w:r>
      <w:rPr>
        <w:noProof/>
      </w:rPr>
      <mc:AlternateContent>
        <mc:Choice Requires="wps">
          <w:drawing>
            <wp:anchor distT="0" distB="0" distL="0" distR="0" simplePos="0" relativeHeight="251667461" behindDoc="0" locked="0" layoutInCell="1" allowOverlap="1" wp14:anchorId="40A3EF3B" wp14:editId="5EC5259E">
              <wp:simplePos x="457200" y="447675"/>
              <wp:positionH relativeFrom="page">
                <wp:align>center</wp:align>
              </wp:positionH>
              <wp:positionV relativeFrom="page">
                <wp:align>top</wp:align>
              </wp:positionV>
              <wp:extent cx="622300" cy="376555"/>
              <wp:effectExtent l="0" t="0" r="6350" b="4445"/>
              <wp:wrapNone/>
              <wp:docPr id="1057378285"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7724FC" w14:textId="35D2B67B"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A3EF3B" id="_x0000_t202" coordsize="21600,21600" o:spt="202" path="m,l,21600r21600,l21600,xe">
              <v:stroke joinstyle="miter"/>
              <v:path gradientshapeok="t" o:connecttype="rect"/>
            </v:shapetype>
            <v:shape id="Text Box 15" o:spid="_x0000_s1027" type="#_x0000_t202" alt="OFFICIAL" style="position:absolute;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407724FC" w14:textId="35D2B67B"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7AEE" w14:textId="179DFBF1" w:rsidR="00E049FC" w:rsidRDefault="00545394">
    <w:pPr>
      <w:pStyle w:val="Header"/>
    </w:pPr>
    <w:r>
      <w:rPr>
        <w:noProof/>
      </w:rPr>
      <mc:AlternateContent>
        <mc:Choice Requires="wps">
          <w:drawing>
            <wp:anchor distT="0" distB="0" distL="0" distR="0" simplePos="0" relativeHeight="251665413" behindDoc="0" locked="0" layoutInCell="1" allowOverlap="1" wp14:anchorId="22D7166F" wp14:editId="52AEA272">
              <wp:simplePos x="635" y="635"/>
              <wp:positionH relativeFrom="page">
                <wp:align>center</wp:align>
              </wp:positionH>
              <wp:positionV relativeFrom="page">
                <wp:align>top</wp:align>
              </wp:positionV>
              <wp:extent cx="622300" cy="376555"/>
              <wp:effectExtent l="0" t="0" r="6350" b="4445"/>
              <wp:wrapNone/>
              <wp:docPr id="1521038928"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01F6AAD" w14:textId="304C605E"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D7166F" id="_x0000_t202" coordsize="21600,21600" o:spt="202" path="m,l,21600r21600,l21600,xe">
              <v:stroke joinstyle="miter"/>
              <v:path gradientshapeok="t" o:connecttype="rect"/>
            </v:shapetype>
            <v:shape id="Text Box 13" o:spid="_x0000_s1030" type="#_x0000_t202" alt="OFFICIAL" style="position:absolute;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01F6AAD" w14:textId="304C605E" w:rsidR="00545394" w:rsidRPr="00545394" w:rsidRDefault="00545394" w:rsidP="00545394">
                    <w:pPr>
                      <w:rPr>
                        <w:rFonts w:ascii="Aptos" w:eastAsia="Aptos" w:hAnsi="Aptos" w:cs="Aptos"/>
                        <w:noProof/>
                        <w:color w:val="FF0000"/>
                        <w:szCs w:val="24"/>
                      </w:rPr>
                    </w:pPr>
                    <w:r w:rsidRPr="00545394">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26E474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9929CD"/>
    <w:multiLevelType w:val="hybridMultilevel"/>
    <w:tmpl w:val="B2EEDD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1C4775D"/>
    <w:multiLevelType w:val="hybridMultilevel"/>
    <w:tmpl w:val="DFCE7136"/>
    <w:lvl w:ilvl="0" w:tplc="907C646C">
      <w:start w:val="1"/>
      <w:numFmt w:val="bullet"/>
      <w:lvlText w:val=""/>
      <w:lvlJc w:val="left"/>
      <w:pPr>
        <w:ind w:left="1020" w:hanging="360"/>
      </w:pPr>
      <w:rPr>
        <w:rFonts w:ascii="Symbol" w:hAnsi="Symbol"/>
      </w:rPr>
    </w:lvl>
    <w:lvl w:ilvl="1" w:tplc="EC54D3D8">
      <w:start w:val="1"/>
      <w:numFmt w:val="bullet"/>
      <w:lvlText w:val=""/>
      <w:lvlJc w:val="left"/>
      <w:pPr>
        <w:ind w:left="1020" w:hanging="360"/>
      </w:pPr>
      <w:rPr>
        <w:rFonts w:ascii="Symbol" w:hAnsi="Symbol"/>
      </w:rPr>
    </w:lvl>
    <w:lvl w:ilvl="2" w:tplc="8FE278EA">
      <w:start w:val="1"/>
      <w:numFmt w:val="bullet"/>
      <w:lvlText w:val=""/>
      <w:lvlJc w:val="left"/>
      <w:pPr>
        <w:ind w:left="1020" w:hanging="360"/>
      </w:pPr>
      <w:rPr>
        <w:rFonts w:ascii="Symbol" w:hAnsi="Symbol"/>
      </w:rPr>
    </w:lvl>
    <w:lvl w:ilvl="3" w:tplc="0E2AD610">
      <w:start w:val="1"/>
      <w:numFmt w:val="bullet"/>
      <w:lvlText w:val=""/>
      <w:lvlJc w:val="left"/>
      <w:pPr>
        <w:ind w:left="1020" w:hanging="360"/>
      </w:pPr>
      <w:rPr>
        <w:rFonts w:ascii="Symbol" w:hAnsi="Symbol"/>
      </w:rPr>
    </w:lvl>
    <w:lvl w:ilvl="4" w:tplc="E2A6A91C">
      <w:start w:val="1"/>
      <w:numFmt w:val="bullet"/>
      <w:lvlText w:val=""/>
      <w:lvlJc w:val="left"/>
      <w:pPr>
        <w:ind w:left="1020" w:hanging="360"/>
      </w:pPr>
      <w:rPr>
        <w:rFonts w:ascii="Symbol" w:hAnsi="Symbol"/>
      </w:rPr>
    </w:lvl>
    <w:lvl w:ilvl="5" w:tplc="427AB98C">
      <w:start w:val="1"/>
      <w:numFmt w:val="bullet"/>
      <w:lvlText w:val=""/>
      <w:lvlJc w:val="left"/>
      <w:pPr>
        <w:ind w:left="1020" w:hanging="360"/>
      </w:pPr>
      <w:rPr>
        <w:rFonts w:ascii="Symbol" w:hAnsi="Symbol"/>
      </w:rPr>
    </w:lvl>
    <w:lvl w:ilvl="6" w:tplc="A0BA83D6">
      <w:start w:val="1"/>
      <w:numFmt w:val="bullet"/>
      <w:lvlText w:val=""/>
      <w:lvlJc w:val="left"/>
      <w:pPr>
        <w:ind w:left="1020" w:hanging="360"/>
      </w:pPr>
      <w:rPr>
        <w:rFonts w:ascii="Symbol" w:hAnsi="Symbol"/>
      </w:rPr>
    </w:lvl>
    <w:lvl w:ilvl="7" w:tplc="121285FE">
      <w:start w:val="1"/>
      <w:numFmt w:val="bullet"/>
      <w:lvlText w:val=""/>
      <w:lvlJc w:val="left"/>
      <w:pPr>
        <w:ind w:left="1020" w:hanging="360"/>
      </w:pPr>
      <w:rPr>
        <w:rFonts w:ascii="Symbol" w:hAnsi="Symbol"/>
      </w:rPr>
    </w:lvl>
    <w:lvl w:ilvl="8" w:tplc="FD1CAA2C">
      <w:start w:val="1"/>
      <w:numFmt w:val="bullet"/>
      <w:lvlText w:val=""/>
      <w:lvlJc w:val="left"/>
      <w:pPr>
        <w:ind w:left="1020" w:hanging="360"/>
      </w:pPr>
      <w:rPr>
        <w:rFonts w:ascii="Symbol" w:hAnsi="Symbol"/>
      </w:rPr>
    </w:lvl>
  </w:abstractNum>
  <w:abstractNum w:abstractNumId="3" w15:restartNumberingAfterBreak="0">
    <w:nsid w:val="03DD5F6C"/>
    <w:multiLevelType w:val="hybridMultilevel"/>
    <w:tmpl w:val="AB648E36"/>
    <w:lvl w:ilvl="0" w:tplc="F94C5C96">
      <w:start w:val="1"/>
      <w:numFmt w:val="bullet"/>
      <w:pStyle w:val="ListBullet"/>
      <w:lvlText w:val="•"/>
      <w:lvlJc w:val="left"/>
      <w:pPr>
        <w:ind w:left="360" w:hanging="360"/>
      </w:pPr>
      <w:rPr>
        <w:rFonts w:asciiTheme="majorHAnsi" w:hAnsiTheme="majorHAnsi" w:cstheme="majorHAnsi" w:hint="default"/>
        <w:b w:val="0"/>
        <w:bCs w:val="0"/>
        <w:i w:val="0"/>
        <w:iCs w:val="0"/>
        <w:caps w:val="0"/>
        <w:strike w:val="0"/>
        <w:dstrike w:val="0"/>
        <w:vanish w:val="0"/>
        <w:color w:val="000000" w:themeColor="text1"/>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8A708E1A">
      <w:numFmt w:val="bullet"/>
      <w:lvlText w:val="-"/>
      <w:lvlJc w:val="left"/>
      <w:pPr>
        <w:ind w:left="1440" w:hanging="360"/>
      </w:pPr>
      <w:rPr>
        <w:rFonts w:ascii="Calibri" w:eastAsiaTheme="minorHAnsi" w:hAnsi="Calibri" w:cs="Calibri" w:hint="default"/>
      </w:rPr>
    </w:lvl>
    <w:lvl w:ilvl="2" w:tplc="9D880A18">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5C6216"/>
    <w:multiLevelType w:val="hybridMultilevel"/>
    <w:tmpl w:val="4C3C2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2C4383"/>
    <w:multiLevelType w:val="hybridMultilevel"/>
    <w:tmpl w:val="5F3C197A"/>
    <w:lvl w:ilvl="0" w:tplc="FFFFFFFF">
      <w:start w:val="1"/>
      <w:numFmt w:val="bullet"/>
      <w:lvlText w:val=""/>
      <w:lvlJc w:val="left"/>
      <w:pPr>
        <w:ind w:left="2277" w:hanging="360"/>
      </w:pPr>
      <w:rPr>
        <w:rFonts w:ascii="Symbol" w:hAnsi="Symbol" w:hint="default"/>
      </w:rPr>
    </w:lvl>
    <w:lvl w:ilvl="1" w:tplc="0C090011">
      <w:start w:val="1"/>
      <w:numFmt w:val="decimal"/>
      <w:lvlText w:val="%2)"/>
      <w:lvlJc w:val="left"/>
      <w:pPr>
        <w:ind w:left="1797" w:hanging="360"/>
      </w:p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6" w15:restartNumberingAfterBreak="0">
    <w:nsid w:val="0EE2335C"/>
    <w:multiLevelType w:val="hybridMultilevel"/>
    <w:tmpl w:val="CDD4E79C"/>
    <w:lvl w:ilvl="0" w:tplc="F3022DB2">
      <w:start w:val="1"/>
      <w:numFmt w:val="bullet"/>
      <w:pStyle w:val="Bullet"/>
      <w:lvlText w:val=""/>
      <w:lvlJc w:val="left"/>
      <w:pPr>
        <w:ind w:left="927" w:hanging="360"/>
      </w:pPr>
      <w:rPr>
        <w:rFonts w:ascii="Wingdings 3" w:hAnsi="Wingdings 3" w:hint="default"/>
        <w:color w:val="auto"/>
        <w:position w:val="2"/>
        <w:sz w:val="16"/>
        <w:szCs w:val="16"/>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16AF761F"/>
    <w:multiLevelType w:val="hybridMultilevel"/>
    <w:tmpl w:val="BD1A0600"/>
    <w:lvl w:ilvl="0" w:tplc="B288B17C">
      <w:start w:val="1"/>
      <w:numFmt w:val="bullet"/>
      <w:lvlText w:val=""/>
      <w:lvlJc w:val="left"/>
      <w:pPr>
        <w:ind w:left="1020" w:hanging="360"/>
      </w:pPr>
      <w:rPr>
        <w:rFonts w:ascii="Symbol" w:hAnsi="Symbol"/>
      </w:rPr>
    </w:lvl>
    <w:lvl w:ilvl="1" w:tplc="8786B628">
      <w:start w:val="1"/>
      <w:numFmt w:val="bullet"/>
      <w:lvlText w:val=""/>
      <w:lvlJc w:val="left"/>
      <w:pPr>
        <w:ind w:left="1020" w:hanging="360"/>
      </w:pPr>
      <w:rPr>
        <w:rFonts w:ascii="Symbol" w:hAnsi="Symbol"/>
      </w:rPr>
    </w:lvl>
    <w:lvl w:ilvl="2" w:tplc="D1A2DD3A">
      <w:start w:val="1"/>
      <w:numFmt w:val="bullet"/>
      <w:lvlText w:val=""/>
      <w:lvlJc w:val="left"/>
      <w:pPr>
        <w:ind w:left="1020" w:hanging="360"/>
      </w:pPr>
      <w:rPr>
        <w:rFonts w:ascii="Symbol" w:hAnsi="Symbol"/>
      </w:rPr>
    </w:lvl>
    <w:lvl w:ilvl="3" w:tplc="7C1A850C">
      <w:start w:val="1"/>
      <w:numFmt w:val="bullet"/>
      <w:lvlText w:val=""/>
      <w:lvlJc w:val="left"/>
      <w:pPr>
        <w:ind w:left="1020" w:hanging="360"/>
      </w:pPr>
      <w:rPr>
        <w:rFonts w:ascii="Symbol" w:hAnsi="Symbol"/>
      </w:rPr>
    </w:lvl>
    <w:lvl w:ilvl="4" w:tplc="A4E0AD84">
      <w:start w:val="1"/>
      <w:numFmt w:val="bullet"/>
      <w:lvlText w:val=""/>
      <w:lvlJc w:val="left"/>
      <w:pPr>
        <w:ind w:left="1020" w:hanging="360"/>
      </w:pPr>
      <w:rPr>
        <w:rFonts w:ascii="Symbol" w:hAnsi="Symbol"/>
      </w:rPr>
    </w:lvl>
    <w:lvl w:ilvl="5" w:tplc="140EAB42">
      <w:start w:val="1"/>
      <w:numFmt w:val="bullet"/>
      <w:lvlText w:val=""/>
      <w:lvlJc w:val="left"/>
      <w:pPr>
        <w:ind w:left="1020" w:hanging="360"/>
      </w:pPr>
      <w:rPr>
        <w:rFonts w:ascii="Symbol" w:hAnsi="Symbol"/>
      </w:rPr>
    </w:lvl>
    <w:lvl w:ilvl="6" w:tplc="7C32FE82">
      <w:start w:val="1"/>
      <w:numFmt w:val="bullet"/>
      <w:lvlText w:val=""/>
      <w:lvlJc w:val="left"/>
      <w:pPr>
        <w:ind w:left="1020" w:hanging="360"/>
      </w:pPr>
      <w:rPr>
        <w:rFonts w:ascii="Symbol" w:hAnsi="Symbol"/>
      </w:rPr>
    </w:lvl>
    <w:lvl w:ilvl="7" w:tplc="5BF89CC6">
      <w:start w:val="1"/>
      <w:numFmt w:val="bullet"/>
      <w:lvlText w:val=""/>
      <w:lvlJc w:val="left"/>
      <w:pPr>
        <w:ind w:left="1020" w:hanging="360"/>
      </w:pPr>
      <w:rPr>
        <w:rFonts w:ascii="Symbol" w:hAnsi="Symbol"/>
      </w:rPr>
    </w:lvl>
    <w:lvl w:ilvl="8" w:tplc="E962DF2C">
      <w:start w:val="1"/>
      <w:numFmt w:val="bullet"/>
      <w:lvlText w:val=""/>
      <w:lvlJc w:val="left"/>
      <w:pPr>
        <w:ind w:left="1020" w:hanging="360"/>
      </w:pPr>
      <w:rPr>
        <w:rFonts w:ascii="Symbol" w:hAnsi="Symbol"/>
      </w:rPr>
    </w:lvl>
  </w:abstractNum>
  <w:abstractNum w:abstractNumId="8" w15:restartNumberingAfterBreak="0">
    <w:nsid w:val="1809D6AF"/>
    <w:multiLevelType w:val="hybridMultilevel"/>
    <w:tmpl w:val="ACBC1CEE"/>
    <w:lvl w:ilvl="0" w:tplc="3C4A4C96">
      <w:start w:val="1"/>
      <w:numFmt w:val="bullet"/>
      <w:lvlText w:val="·"/>
      <w:lvlJc w:val="left"/>
      <w:pPr>
        <w:ind w:left="360" w:hanging="360"/>
      </w:pPr>
      <w:rPr>
        <w:rFonts w:ascii="Symbol" w:hAnsi="Symbol" w:hint="default"/>
      </w:rPr>
    </w:lvl>
    <w:lvl w:ilvl="1" w:tplc="97204ED0">
      <w:start w:val="1"/>
      <w:numFmt w:val="bullet"/>
      <w:lvlText w:val="o"/>
      <w:lvlJc w:val="left"/>
      <w:pPr>
        <w:ind w:left="993" w:hanging="360"/>
      </w:pPr>
      <w:rPr>
        <w:rFonts w:ascii="Courier New" w:hAnsi="Courier New" w:cs="Times New Roman" w:hint="default"/>
      </w:rPr>
    </w:lvl>
    <w:lvl w:ilvl="2" w:tplc="D8585E08">
      <w:start w:val="1"/>
      <w:numFmt w:val="bullet"/>
      <w:lvlText w:val=""/>
      <w:lvlJc w:val="left"/>
      <w:pPr>
        <w:ind w:left="1800" w:hanging="360"/>
      </w:pPr>
      <w:rPr>
        <w:rFonts w:ascii="Wingdings" w:hAnsi="Wingdings" w:hint="default"/>
      </w:rPr>
    </w:lvl>
    <w:lvl w:ilvl="3" w:tplc="DD521776">
      <w:start w:val="1"/>
      <w:numFmt w:val="bullet"/>
      <w:lvlText w:val=""/>
      <w:lvlJc w:val="left"/>
      <w:pPr>
        <w:ind w:left="2520" w:hanging="360"/>
      </w:pPr>
      <w:rPr>
        <w:rFonts w:ascii="Symbol" w:hAnsi="Symbol" w:hint="default"/>
      </w:rPr>
    </w:lvl>
    <w:lvl w:ilvl="4" w:tplc="50B6EE20">
      <w:start w:val="1"/>
      <w:numFmt w:val="bullet"/>
      <w:lvlText w:val="o"/>
      <w:lvlJc w:val="left"/>
      <w:pPr>
        <w:ind w:left="3240" w:hanging="360"/>
      </w:pPr>
      <w:rPr>
        <w:rFonts w:ascii="Courier New" w:hAnsi="Courier New" w:cs="Times New Roman" w:hint="default"/>
      </w:rPr>
    </w:lvl>
    <w:lvl w:ilvl="5" w:tplc="CC4AE87E">
      <w:start w:val="1"/>
      <w:numFmt w:val="bullet"/>
      <w:lvlText w:val=""/>
      <w:lvlJc w:val="left"/>
      <w:pPr>
        <w:ind w:left="3960" w:hanging="360"/>
      </w:pPr>
      <w:rPr>
        <w:rFonts w:ascii="Wingdings" w:hAnsi="Wingdings" w:hint="default"/>
      </w:rPr>
    </w:lvl>
    <w:lvl w:ilvl="6" w:tplc="EB9A08F2">
      <w:start w:val="1"/>
      <w:numFmt w:val="bullet"/>
      <w:lvlText w:val=""/>
      <w:lvlJc w:val="left"/>
      <w:pPr>
        <w:ind w:left="4680" w:hanging="360"/>
      </w:pPr>
      <w:rPr>
        <w:rFonts w:ascii="Symbol" w:hAnsi="Symbol" w:hint="default"/>
      </w:rPr>
    </w:lvl>
    <w:lvl w:ilvl="7" w:tplc="81088522">
      <w:start w:val="1"/>
      <w:numFmt w:val="bullet"/>
      <w:lvlText w:val="o"/>
      <w:lvlJc w:val="left"/>
      <w:pPr>
        <w:ind w:left="5400" w:hanging="360"/>
      </w:pPr>
      <w:rPr>
        <w:rFonts w:ascii="Courier New" w:hAnsi="Courier New" w:cs="Times New Roman" w:hint="default"/>
      </w:rPr>
    </w:lvl>
    <w:lvl w:ilvl="8" w:tplc="EB803584">
      <w:start w:val="1"/>
      <w:numFmt w:val="bullet"/>
      <w:lvlText w:val=""/>
      <w:lvlJc w:val="left"/>
      <w:pPr>
        <w:ind w:left="6120" w:hanging="360"/>
      </w:pPr>
      <w:rPr>
        <w:rFonts w:ascii="Wingdings" w:hAnsi="Wingdings" w:hint="default"/>
      </w:rPr>
    </w:lvl>
  </w:abstractNum>
  <w:abstractNum w:abstractNumId="9" w15:restartNumberingAfterBreak="0">
    <w:nsid w:val="19BB56D3"/>
    <w:multiLevelType w:val="hybridMultilevel"/>
    <w:tmpl w:val="45C068F6"/>
    <w:lvl w:ilvl="0" w:tplc="404E7B90">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167910"/>
    <w:multiLevelType w:val="hybridMultilevel"/>
    <w:tmpl w:val="D3F01C9E"/>
    <w:lvl w:ilvl="0" w:tplc="E4FE64A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C3582B"/>
    <w:multiLevelType w:val="multilevel"/>
    <w:tmpl w:val="4E90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D560D"/>
    <w:multiLevelType w:val="multilevel"/>
    <w:tmpl w:val="285CA2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5E56DF3"/>
    <w:multiLevelType w:val="hybridMultilevel"/>
    <w:tmpl w:val="A0A088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27081AE3"/>
    <w:multiLevelType w:val="hybridMultilevel"/>
    <w:tmpl w:val="56627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82735B"/>
    <w:multiLevelType w:val="hybridMultilevel"/>
    <w:tmpl w:val="8610B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7A63560"/>
    <w:multiLevelType w:val="hybridMultilevel"/>
    <w:tmpl w:val="BC14D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A04803"/>
    <w:multiLevelType w:val="multilevel"/>
    <w:tmpl w:val="D4740F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AE248A"/>
    <w:multiLevelType w:val="hybridMultilevel"/>
    <w:tmpl w:val="1B724C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E9D7775"/>
    <w:multiLevelType w:val="hybridMultilevel"/>
    <w:tmpl w:val="4F365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1C165DF"/>
    <w:multiLevelType w:val="hybridMultilevel"/>
    <w:tmpl w:val="C18CC4D2"/>
    <w:lvl w:ilvl="0" w:tplc="398ADB2C">
      <w:start w:val="1"/>
      <w:numFmt w:val="bullet"/>
      <w:lvlText w:val=""/>
      <w:lvlJc w:val="left"/>
      <w:pPr>
        <w:ind w:left="1020" w:hanging="360"/>
      </w:pPr>
      <w:rPr>
        <w:rFonts w:ascii="Symbol" w:hAnsi="Symbol"/>
      </w:rPr>
    </w:lvl>
    <w:lvl w:ilvl="1" w:tplc="E56281D0">
      <w:start w:val="1"/>
      <w:numFmt w:val="bullet"/>
      <w:lvlText w:val=""/>
      <w:lvlJc w:val="left"/>
      <w:pPr>
        <w:ind w:left="1020" w:hanging="360"/>
      </w:pPr>
      <w:rPr>
        <w:rFonts w:ascii="Symbol" w:hAnsi="Symbol"/>
      </w:rPr>
    </w:lvl>
    <w:lvl w:ilvl="2" w:tplc="A74ED3AA">
      <w:start w:val="1"/>
      <w:numFmt w:val="bullet"/>
      <w:lvlText w:val=""/>
      <w:lvlJc w:val="left"/>
      <w:pPr>
        <w:ind w:left="1020" w:hanging="360"/>
      </w:pPr>
      <w:rPr>
        <w:rFonts w:ascii="Symbol" w:hAnsi="Symbol"/>
      </w:rPr>
    </w:lvl>
    <w:lvl w:ilvl="3" w:tplc="D4CC4A36">
      <w:start w:val="1"/>
      <w:numFmt w:val="bullet"/>
      <w:lvlText w:val=""/>
      <w:lvlJc w:val="left"/>
      <w:pPr>
        <w:ind w:left="1020" w:hanging="360"/>
      </w:pPr>
      <w:rPr>
        <w:rFonts w:ascii="Symbol" w:hAnsi="Symbol"/>
      </w:rPr>
    </w:lvl>
    <w:lvl w:ilvl="4" w:tplc="7B32AB2E">
      <w:start w:val="1"/>
      <w:numFmt w:val="bullet"/>
      <w:lvlText w:val=""/>
      <w:lvlJc w:val="left"/>
      <w:pPr>
        <w:ind w:left="1020" w:hanging="360"/>
      </w:pPr>
      <w:rPr>
        <w:rFonts w:ascii="Symbol" w:hAnsi="Symbol"/>
      </w:rPr>
    </w:lvl>
    <w:lvl w:ilvl="5" w:tplc="925C7972">
      <w:start w:val="1"/>
      <w:numFmt w:val="bullet"/>
      <w:lvlText w:val=""/>
      <w:lvlJc w:val="left"/>
      <w:pPr>
        <w:ind w:left="1020" w:hanging="360"/>
      </w:pPr>
      <w:rPr>
        <w:rFonts w:ascii="Symbol" w:hAnsi="Symbol"/>
      </w:rPr>
    </w:lvl>
    <w:lvl w:ilvl="6" w:tplc="AD005718">
      <w:start w:val="1"/>
      <w:numFmt w:val="bullet"/>
      <w:lvlText w:val=""/>
      <w:lvlJc w:val="left"/>
      <w:pPr>
        <w:ind w:left="1020" w:hanging="360"/>
      </w:pPr>
      <w:rPr>
        <w:rFonts w:ascii="Symbol" w:hAnsi="Symbol"/>
      </w:rPr>
    </w:lvl>
    <w:lvl w:ilvl="7" w:tplc="CF42B92C">
      <w:start w:val="1"/>
      <w:numFmt w:val="bullet"/>
      <w:lvlText w:val=""/>
      <w:lvlJc w:val="left"/>
      <w:pPr>
        <w:ind w:left="1020" w:hanging="360"/>
      </w:pPr>
      <w:rPr>
        <w:rFonts w:ascii="Symbol" w:hAnsi="Symbol"/>
      </w:rPr>
    </w:lvl>
    <w:lvl w:ilvl="8" w:tplc="5816B022">
      <w:start w:val="1"/>
      <w:numFmt w:val="bullet"/>
      <w:lvlText w:val=""/>
      <w:lvlJc w:val="left"/>
      <w:pPr>
        <w:ind w:left="1020" w:hanging="360"/>
      </w:pPr>
      <w:rPr>
        <w:rFonts w:ascii="Symbol" w:hAnsi="Symbol"/>
      </w:rPr>
    </w:lvl>
  </w:abstractNum>
  <w:abstractNum w:abstractNumId="21" w15:restartNumberingAfterBreak="0">
    <w:nsid w:val="3AFE68F2"/>
    <w:multiLevelType w:val="hybridMultilevel"/>
    <w:tmpl w:val="8B9ED61C"/>
    <w:lvl w:ilvl="0" w:tplc="0C090001">
      <w:start w:val="1"/>
      <w:numFmt w:val="bullet"/>
      <w:lvlText w:val=""/>
      <w:lvlJc w:val="left"/>
      <w:pPr>
        <w:ind w:left="2277" w:hanging="360"/>
      </w:pPr>
      <w:rPr>
        <w:rFonts w:ascii="Symbol" w:hAnsi="Symbol" w:hint="default"/>
      </w:rPr>
    </w:lvl>
    <w:lvl w:ilvl="1" w:tplc="0C090003">
      <w:start w:val="1"/>
      <w:numFmt w:val="bullet"/>
      <w:lvlText w:val="o"/>
      <w:lvlJc w:val="left"/>
      <w:pPr>
        <w:ind w:left="1069" w:hanging="360"/>
      </w:pPr>
      <w:rPr>
        <w:rFonts w:ascii="Courier New" w:hAnsi="Courier New" w:cs="Courier New" w:hint="default"/>
      </w:rPr>
    </w:lvl>
    <w:lvl w:ilvl="2" w:tplc="0C090005">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3F8C7452"/>
    <w:multiLevelType w:val="hybridMultilevel"/>
    <w:tmpl w:val="4A449BE8"/>
    <w:lvl w:ilvl="0" w:tplc="AD4245D8">
      <w:start w:val="1"/>
      <w:numFmt w:val="bullet"/>
      <w:lvlText w:val="·"/>
      <w:lvlJc w:val="left"/>
      <w:pPr>
        <w:ind w:left="360" w:hanging="360"/>
      </w:pPr>
      <w:rPr>
        <w:rFonts w:ascii="Symbol" w:hAnsi="Symbol" w:hint="default"/>
      </w:rPr>
    </w:lvl>
    <w:lvl w:ilvl="1" w:tplc="E8D4CBB2">
      <w:start w:val="1"/>
      <w:numFmt w:val="bullet"/>
      <w:lvlText w:val="o"/>
      <w:lvlJc w:val="left"/>
      <w:pPr>
        <w:ind w:left="1080" w:hanging="360"/>
      </w:pPr>
      <w:rPr>
        <w:rFonts w:ascii="Courier New" w:hAnsi="Courier New" w:cs="Times New Roman" w:hint="default"/>
      </w:rPr>
    </w:lvl>
    <w:lvl w:ilvl="2" w:tplc="10C01042">
      <w:start w:val="1"/>
      <w:numFmt w:val="bullet"/>
      <w:lvlText w:val=""/>
      <w:lvlJc w:val="left"/>
      <w:pPr>
        <w:ind w:left="1800" w:hanging="360"/>
      </w:pPr>
      <w:rPr>
        <w:rFonts w:ascii="Wingdings" w:hAnsi="Wingdings" w:hint="default"/>
      </w:rPr>
    </w:lvl>
    <w:lvl w:ilvl="3" w:tplc="F08E3604">
      <w:start w:val="1"/>
      <w:numFmt w:val="bullet"/>
      <w:lvlText w:val=""/>
      <w:lvlJc w:val="left"/>
      <w:pPr>
        <w:ind w:left="2520" w:hanging="360"/>
      </w:pPr>
      <w:rPr>
        <w:rFonts w:ascii="Symbol" w:hAnsi="Symbol" w:hint="default"/>
      </w:rPr>
    </w:lvl>
    <w:lvl w:ilvl="4" w:tplc="B61E31EA">
      <w:start w:val="1"/>
      <w:numFmt w:val="bullet"/>
      <w:lvlText w:val="o"/>
      <w:lvlJc w:val="left"/>
      <w:pPr>
        <w:ind w:left="3240" w:hanging="360"/>
      </w:pPr>
      <w:rPr>
        <w:rFonts w:ascii="Courier New" w:hAnsi="Courier New" w:cs="Times New Roman" w:hint="default"/>
      </w:rPr>
    </w:lvl>
    <w:lvl w:ilvl="5" w:tplc="3558C3B0">
      <w:start w:val="1"/>
      <w:numFmt w:val="bullet"/>
      <w:lvlText w:val=""/>
      <w:lvlJc w:val="left"/>
      <w:pPr>
        <w:ind w:left="3960" w:hanging="360"/>
      </w:pPr>
      <w:rPr>
        <w:rFonts w:ascii="Wingdings" w:hAnsi="Wingdings" w:hint="default"/>
      </w:rPr>
    </w:lvl>
    <w:lvl w:ilvl="6" w:tplc="D3725B1A">
      <w:start w:val="1"/>
      <w:numFmt w:val="bullet"/>
      <w:lvlText w:val=""/>
      <w:lvlJc w:val="left"/>
      <w:pPr>
        <w:ind w:left="4680" w:hanging="360"/>
      </w:pPr>
      <w:rPr>
        <w:rFonts w:ascii="Symbol" w:hAnsi="Symbol" w:hint="default"/>
      </w:rPr>
    </w:lvl>
    <w:lvl w:ilvl="7" w:tplc="4A449F1A">
      <w:start w:val="1"/>
      <w:numFmt w:val="bullet"/>
      <w:lvlText w:val="o"/>
      <w:lvlJc w:val="left"/>
      <w:pPr>
        <w:ind w:left="5400" w:hanging="360"/>
      </w:pPr>
      <w:rPr>
        <w:rFonts w:ascii="Courier New" w:hAnsi="Courier New" w:cs="Times New Roman" w:hint="default"/>
      </w:rPr>
    </w:lvl>
    <w:lvl w:ilvl="8" w:tplc="4874FAA0">
      <w:start w:val="1"/>
      <w:numFmt w:val="bullet"/>
      <w:lvlText w:val=""/>
      <w:lvlJc w:val="left"/>
      <w:pPr>
        <w:ind w:left="6120" w:hanging="360"/>
      </w:pPr>
      <w:rPr>
        <w:rFonts w:ascii="Wingdings" w:hAnsi="Wingdings" w:hint="default"/>
      </w:rPr>
    </w:lvl>
  </w:abstractNum>
  <w:abstractNum w:abstractNumId="23" w15:restartNumberingAfterBreak="0">
    <w:nsid w:val="426EE30A"/>
    <w:multiLevelType w:val="hybridMultilevel"/>
    <w:tmpl w:val="DB5E590C"/>
    <w:lvl w:ilvl="0" w:tplc="BAD2A248">
      <w:start w:val="1"/>
      <w:numFmt w:val="bullet"/>
      <w:lvlText w:val="·"/>
      <w:lvlJc w:val="left"/>
      <w:pPr>
        <w:ind w:left="720" w:hanging="360"/>
      </w:pPr>
      <w:rPr>
        <w:rFonts w:ascii="Symbol" w:hAnsi="Symbol" w:hint="default"/>
      </w:rPr>
    </w:lvl>
    <w:lvl w:ilvl="1" w:tplc="367ED7C0">
      <w:start w:val="1"/>
      <w:numFmt w:val="bullet"/>
      <w:lvlText w:val="o"/>
      <w:lvlJc w:val="left"/>
      <w:pPr>
        <w:ind w:left="1440" w:hanging="360"/>
      </w:pPr>
      <w:rPr>
        <w:rFonts w:ascii="Courier New" w:hAnsi="Courier New" w:cs="Times New Roman" w:hint="default"/>
      </w:rPr>
    </w:lvl>
    <w:lvl w:ilvl="2" w:tplc="89ECCAA4">
      <w:start w:val="1"/>
      <w:numFmt w:val="bullet"/>
      <w:lvlText w:val=""/>
      <w:lvlJc w:val="left"/>
      <w:pPr>
        <w:ind w:left="2160" w:hanging="360"/>
      </w:pPr>
      <w:rPr>
        <w:rFonts w:ascii="Wingdings" w:hAnsi="Wingdings" w:hint="default"/>
      </w:rPr>
    </w:lvl>
    <w:lvl w:ilvl="3" w:tplc="94A02842">
      <w:start w:val="1"/>
      <w:numFmt w:val="bullet"/>
      <w:lvlText w:val=""/>
      <w:lvlJc w:val="left"/>
      <w:pPr>
        <w:ind w:left="2880" w:hanging="360"/>
      </w:pPr>
      <w:rPr>
        <w:rFonts w:ascii="Symbol" w:hAnsi="Symbol" w:hint="default"/>
      </w:rPr>
    </w:lvl>
    <w:lvl w:ilvl="4" w:tplc="DD520E0A">
      <w:start w:val="1"/>
      <w:numFmt w:val="bullet"/>
      <w:lvlText w:val="o"/>
      <w:lvlJc w:val="left"/>
      <w:pPr>
        <w:ind w:left="3600" w:hanging="360"/>
      </w:pPr>
      <w:rPr>
        <w:rFonts w:ascii="Courier New" w:hAnsi="Courier New" w:cs="Times New Roman" w:hint="default"/>
      </w:rPr>
    </w:lvl>
    <w:lvl w:ilvl="5" w:tplc="DBD4D442">
      <w:start w:val="1"/>
      <w:numFmt w:val="bullet"/>
      <w:lvlText w:val=""/>
      <w:lvlJc w:val="left"/>
      <w:pPr>
        <w:ind w:left="4320" w:hanging="360"/>
      </w:pPr>
      <w:rPr>
        <w:rFonts w:ascii="Wingdings" w:hAnsi="Wingdings" w:hint="default"/>
      </w:rPr>
    </w:lvl>
    <w:lvl w:ilvl="6" w:tplc="8910B812">
      <w:start w:val="1"/>
      <w:numFmt w:val="bullet"/>
      <w:lvlText w:val=""/>
      <w:lvlJc w:val="left"/>
      <w:pPr>
        <w:ind w:left="5040" w:hanging="360"/>
      </w:pPr>
      <w:rPr>
        <w:rFonts w:ascii="Symbol" w:hAnsi="Symbol" w:hint="default"/>
      </w:rPr>
    </w:lvl>
    <w:lvl w:ilvl="7" w:tplc="29EC858C">
      <w:start w:val="1"/>
      <w:numFmt w:val="bullet"/>
      <w:lvlText w:val="o"/>
      <w:lvlJc w:val="left"/>
      <w:pPr>
        <w:ind w:left="5760" w:hanging="360"/>
      </w:pPr>
      <w:rPr>
        <w:rFonts w:ascii="Courier New" w:hAnsi="Courier New" w:cs="Times New Roman" w:hint="default"/>
      </w:rPr>
    </w:lvl>
    <w:lvl w:ilvl="8" w:tplc="D3947AAC">
      <w:start w:val="1"/>
      <w:numFmt w:val="bullet"/>
      <w:lvlText w:val=""/>
      <w:lvlJc w:val="left"/>
      <w:pPr>
        <w:ind w:left="6480" w:hanging="360"/>
      </w:pPr>
      <w:rPr>
        <w:rFonts w:ascii="Wingdings" w:hAnsi="Wingdings" w:hint="default"/>
      </w:rPr>
    </w:lvl>
  </w:abstractNum>
  <w:abstractNum w:abstractNumId="24" w15:restartNumberingAfterBreak="0">
    <w:nsid w:val="43E279E6"/>
    <w:multiLevelType w:val="hybridMultilevel"/>
    <w:tmpl w:val="2604C136"/>
    <w:lvl w:ilvl="0" w:tplc="FFFFFFFF">
      <w:start w:val="1"/>
      <w:numFmt w:val="bullet"/>
      <w:lvlText w:val=""/>
      <w:lvlJc w:val="left"/>
      <w:pPr>
        <w:ind w:left="2277" w:hanging="360"/>
      </w:pPr>
      <w:rPr>
        <w:rFonts w:ascii="Symbol" w:hAnsi="Symbol" w:hint="default"/>
      </w:rPr>
    </w:lvl>
    <w:lvl w:ilvl="1" w:tplc="0C09000F">
      <w:start w:val="1"/>
      <w:numFmt w:val="decimal"/>
      <w:lvlText w:val="%2."/>
      <w:lvlJc w:val="left"/>
      <w:pPr>
        <w:ind w:left="1797" w:hanging="360"/>
      </w:p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5" w15:restartNumberingAfterBreak="0">
    <w:nsid w:val="47DA3E49"/>
    <w:multiLevelType w:val="hybridMultilevel"/>
    <w:tmpl w:val="8EF03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BA54DB"/>
    <w:multiLevelType w:val="hybridMultilevel"/>
    <w:tmpl w:val="4394F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1F369F7"/>
    <w:multiLevelType w:val="hybridMultilevel"/>
    <w:tmpl w:val="40D8F9E0"/>
    <w:lvl w:ilvl="0" w:tplc="9B6ACF22">
      <w:start w:val="1"/>
      <w:numFmt w:val="bullet"/>
      <w:lvlText w:val="·"/>
      <w:lvlJc w:val="left"/>
      <w:pPr>
        <w:ind w:left="720" w:hanging="360"/>
      </w:pPr>
      <w:rPr>
        <w:rFonts w:ascii="Symbol" w:hAnsi="Symbol" w:hint="default"/>
      </w:rPr>
    </w:lvl>
    <w:lvl w:ilvl="1" w:tplc="D6F2AD0E">
      <w:start w:val="1"/>
      <w:numFmt w:val="bullet"/>
      <w:lvlText w:val="o"/>
      <w:lvlJc w:val="left"/>
      <w:pPr>
        <w:ind w:left="1440" w:hanging="360"/>
      </w:pPr>
      <w:rPr>
        <w:rFonts w:ascii="Courier New" w:hAnsi="Courier New" w:cs="Times New Roman" w:hint="default"/>
      </w:rPr>
    </w:lvl>
    <w:lvl w:ilvl="2" w:tplc="77D4A440">
      <w:start w:val="1"/>
      <w:numFmt w:val="bullet"/>
      <w:lvlText w:val=""/>
      <w:lvlJc w:val="left"/>
      <w:pPr>
        <w:ind w:left="2160" w:hanging="360"/>
      </w:pPr>
      <w:rPr>
        <w:rFonts w:ascii="Wingdings" w:hAnsi="Wingdings" w:hint="default"/>
      </w:rPr>
    </w:lvl>
    <w:lvl w:ilvl="3" w:tplc="DB40C6F4">
      <w:start w:val="1"/>
      <w:numFmt w:val="bullet"/>
      <w:lvlText w:val=""/>
      <w:lvlJc w:val="left"/>
      <w:pPr>
        <w:ind w:left="2880" w:hanging="360"/>
      </w:pPr>
      <w:rPr>
        <w:rFonts w:ascii="Symbol" w:hAnsi="Symbol" w:hint="default"/>
      </w:rPr>
    </w:lvl>
    <w:lvl w:ilvl="4" w:tplc="2892BFE0">
      <w:start w:val="1"/>
      <w:numFmt w:val="bullet"/>
      <w:lvlText w:val="o"/>
      <w:lvlJc w:val="left"/>
      <w:pPr>
        <w:ind w:left="3600" w:hanging="360"/>
      </w:pPr>
      <w:rPr>
        <w:rFonts w:ascii="Courier New" w:hAnsi="Courier New" w:cs="Times New Roman" w:hint="default"/>
      </w:rPr>
    </w:lvl>
    <w:lvl w:ilvl="5" w:tplc="658ABABA">
      <w:start w:val="1"/>
      <w:numFmt w:val="bullet"/>
      <w:lvlText w:val=""/>
      <w:lvlJc w:val="left"/>
      <w:pPr>
        <w:ind w:left="4320" w:hanging="360"/>
      </w:pPr>
      <w:rPr>
        <w:rFonts w:ascii="Wingdings" w:hAnsi="Wingdings" w:hint="default"/>
      </w:rPr>
    </w:lvl>
    <w:lvl w:ilvl="6" w:tplc="1A5819CA">
      <w:start w:val="1"/>
      <w:numFmt w:val="bullet"/>
      <w:lvlText w:val=""/>
      <w:lvlJc w:val="left"/>
      <w:pPr>
        <w:ind w:left="5040" w:hanging="360"/>
      </w:pPr>
      <w:rPr>
        <w:rFonts w:ascii="Symbol" w:hAnsi="Symbol" w:hint="default"/>
      </w:rPr>
    </w:lvl>
    <w:lvl w:ilvl="7" w:tplc="DB4A4DB6">
      <w:start w:val="1"/>
      <w:numFmt w:val="bullet"/>
      <w:lvlText w:val="o"/>
      <w:lvlJc w:val="left"/>
      <w:pPr>
        <w:ind w:left="5760" w:hanging="360"/>
      </w:pPr>
      <w:rPr>
        <w:rFonts w:ascii="Courier New" w:hAnsi="Courier New" w:cs="Times New Roman" w:hint="default"/>
      </w:rPr>
    </w:lvl>
    <w:lvl w:ilvl="8" w:tplc="93DA93DA">
      <w:start w:val="1"/>
      <w:numFmt w:val="bullet"/>
      <w:lvlText w:val=""/>
      <w:lvlJc w:val="left"/>
      <w:pPr>
        <w:ind w:left="6480" w:hanging="360"/>
      </w:pPr>
      <w:rPr>
        <w:rFonts w:ascii="Wingdings" w:hAnsi="Wingdings" w:hint="default"/>
      </w:rPr>
    </w:lvl>
  </w:abstractNum>
  <w:abstractNum w:abstractNumId="28" w15:restartNumberingAfterBreak="0">
    <w:nsid w:val="571176FE"/>
    <w:multiLevelType w:val="hybridMultilevel"/>
    <w:tmpl w:val="6960F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B03D41"/>
    <w:multiLevelType w:val="hybridMultilevel"/>
    <w:tmpl w:val="0B74A9CC"/>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CDE6CE3"/>
    <w:multiLevelType w:val="hybridMultilevel"/>
    <w:tmpl w:val="23605CEA"/>
    <w:lvl w:ilvl="0" w:tplc="032273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630E64EC"/>
    <w:multiLevelType w:val="hybridMultilevel"/>
    <w:tmpl w:val="F3443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13720E"/>
    <w:multiLevelType w:val="hybridMultilevel"/>
    <w:tmpl w:val="94B68C44"/>
    <w:lvl w:ilvl="0" w:tplc="99E8CDE6">
      <w:start w:val="1"/>
      <w:numFmt w:val="bullet"/>
      <w:lvlText w:val=""/>
      <w:lvlJc w:val="left"/>
      <w:pPr>
        <w:ind w:left="1020" w:hanging="360"/>
      </w:pPr>
      <w:rPr>
        <w:rFonts w:ascii="Symbol" w:hAnsi="Symbol"/>
      </w:rPr>
    </w:lvl>
    <w:lvl w:ilvl="1" w:tplc="A9D01338">
      <w:start w:val="1"/>
      <w:numFmt w:val="bullet"/>
      <w:lvlText w:val=""/>
      <w:lvlJc w:val="left"/>
      <w:pPr>
        <w:ind w:left="1020" w:hanging="360"/>
      </w:pPr>
      <w:rPr>
        <w:rFonts w:ascii="Symbol" w:hAnsi="Symbol"/>
      </w:rPr>
    </w:lvl>
    <w:lvl w:ilvl="2" w:tplc="951CBA8C">
      <w:start w:val="1"/>
      <w:numFmt w:val="bullet"/>
      <w:lvlText w:val=""/>
      <w:lvlJc w:val="left"/>
      <w:pPr>
        <w:ind w:left="1020" w:hanging="360"/>
      </w:pPr>
      <w:rPr>
        <w:rFonts w:ascii="Symbol" w:hAnsi="Symbol"/>
      </w:rPr>
    </w:lvl>
    <w:lvl w:ilvl="3" w:tplc="26A0392C">
      <w:start w:val="1"/>
      <w:numFmt w:val="bullet"/>
      <w:lvlText w:val=""/>
      <w:lvlJc w:val="left"/>
      <w:pPr>
        <w:ind w:left="1020" w:hanging="360"/>
      </w:pPr>
      <w:rPr>
        <w:rFonts w:ascii="Symbol" w:hAnsi="Symbol"/>
      </w:rPr>
    </w:lvl>
    <w:lvl w:ilvl="4" w:tplc="B4268EFC">
      <w:start w:val="1"/>
      <w:numFmt w:val="bullet"/>
      <w:lvlText w:val=""/>
      <w:lvlJc w:val="left"/>
      <w:pPr>
        <w:ind w:left="1020" w:hanging="360"/>
      </w:pPr>
      <w:rPr>
        <w:rFonts w:ascii="Symbol" w:hAnsi="Symbol"/>
      </w:rPr>
    </w:lvl>
    <w:lvl w:ilvl="5" w:tplc="010ECC16">
      <w:start w:val="1"/>
      <w:numFmt w:val="bullet"/>
      <w:lvlText w:val=""/>
      <w:lvlJc w:val="left"/>
      <w:pPr>
        <w:ind w:left="1020" w:hanging="360"/>
      </w:pPr>
      <w:rPr>
        <w:rFonts w:ascii="Symbol" w:hAnsi="Symbol"/>
      </w:rPr>
    </w:lvl>
    <w:lvl w:ilvl="6" w:tplc="2236ECE6">
      <w:start w:val="1"/>
      <w:numFmt w:val="bullet"/>
      <w:lvlText w:val=""/>
      <w:lvlJc w:val="left"/>
      <w:pPr>
        <w:ind w:left="1020" w:hanging="360"/>
      </w:pPr>
      <w:rPr>
        <w:rFonts w:ascii="Symbol" w:hAnsi="Symbol"/>
      </w:rPr>
    </w:lvl>
    <w:lvl w:ilvl="7" w:tplc="FCE80BA0">
      <w:start w:val="1"/>
      <w:numFmt w:val="bullet"/>
      <w:lvlText w:val=""/>
      <w:lvlJc w:val="left"/>
      <w:pPr>
        <w:ind w:left="1020" w:hanging="360"/>
      </w:pPr>
      <w:rPr>
        <w:rFonts w:ascii="Symbol" w:hAnsi="Symbol"/>
      </w:rPr>
    </w:lvl>
    <w:lvl w:ilvl="8" w:tplc="46B4E90A">
      <w:start w:val="1"/>
      <w:numFmt w:val="bullet"/>
      <w:lvlText w:val=""/>
      <w:lvlJc w:val="left"/>
      <w:pPr>
        <w:ind w:left="1020" w:hanging="360"/>
      </w:pPr>
      <w:rPr>
        <w:rFonts w:ascii="Symbol" w:hAnsi="Symbol"/>
      </w:rPr>
    </w:lvl>
  </w:abstractNum>
  <w:abstractNum w:abstractNumId="33" w15:restartNumberingAfterBreak="0">
    <w:nsid w:val="720E43A7"/>
    <w:multiLevelType w:val="hybridMultilevel"/>
    <w:tmpl w:val="57DE7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80498B"/>
    <w:multiLevelType w:val="hybridMultilevel"/>
    <w:tmpl w:val="7E6A20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3A8D223"/>
    <w:multiLevelType w:val="hybridMultilevel"/>
    <w:tmpl w:val="5B00ACBA"/>
    <w:lvl w:ilvl="0" w:tplc="06C63684">
      <w:start w:val="1"/>
      <w:numFmt w:val="bullet"/>
      <w:lvlText w:val="·"/>
      <w:lvlJc w:val="left"/>
      <w:pPr>
        <w:ind w:left="720" w:hanging="360"/>
      </w:pPr>
      <w:rPr>
        <w:rFonts w:ascii="Symbol" w:hAnsi="Symbol" w:hint="default"/>
      </w:rPr>
    </w:lvl>
    <w:lvl w:ilvl="1" w:tplc="ECDA0A06">
      <w:start w:val="1"/>
      <w:numFmt w:val="bullet"/>
      <w:lvlText w:val="o"/>
      <w:lvlJc w:val="left"/>
      <w:pPr>
        <w:ind w:left="1440" w:hanging="360"/>
      </w:pPr>
      <w:rPr>
        <w:rFonts w:ascii="Courier New" w:hAnsi="Courier New" w:cs="Times New Roman" w:hint="default"/>
      </w:rPr>
    </w:lvl>
    <w:lvl w:ilvl="2" w:tplc="051ED044">
      <w:start w:val="1"/>
      <w:numFmt w:val="bullet"/>
      <w:lvlText w:val=""/>
      <w:lvlJc w:val="left"/>
      <w:pPr>
        <w:ind w:left="2160" w:hanging="360"/>
      </w:pPr>
      <w:rPr>
        <w:rFonts w:ascii="Wingdings" w:hAnsi="Wingdings" w:hint="default"/>
      </w:rPr>
    </w:lvl>
    <w:lvl w:ilvl="3" w:tplc="37729118">
      <w:start w:val="1"/>
      <w:numFmt w:val="bullet"/>
      <w:lvlText w:val=""/>
      <w:lvlJc w:val="left"/>
      <w:pPr>
        <w:ind w:left="2880" w:hanging="360"/>
      </w:pPr>
      <w:rPr>
        <w:rFonts w:ascii="Symbol" w:hAnsi="Symbol" w:hint="default"/>
      </w:rPr>
    </w:lvl>
    <w:lvl w:ilvl="4" w:tplc="E66EA8A4">
      <w:start w:val="1"/>
      <w:numFmt w:val="bullet"/>
      <w:lvlText w:val="o"/>
      <w:lvlJc w:val="left"/>
      <w:pPr>
        <w:ind w:left="3600" w:hanging="360"/>
      </w:pPr>
      <w:rPr>
        <w:rFonts w:ascii="Courier New" w:hAnsi="Courier New" w:cs="Times New Roman" w:hint="default"/>
      </w:rPr>
    </w:lvl>
    <w:lvl w:ilvl="5" w:tplc="41282C50">
      <w:start w:val="1"/>
      <w:numFmt w:val="bullet"/>
      <w:lvlText w:val=""/>
      <w:lvlJc w:val="left"/>
      <w:pPr>
        <w:ind w:left="4320" w:hanging="360"/>
      </w:pPr>
      <w:rPr>
        <w:rFonts w:ascii="Wingdings" w:hAnsi="Wingdings" w:hint="default"/>
      </w:rPr>
    </w:lvl>
    <w:lvl w:ilvl="6" w:tplc="8338A228">
      <w:start w:val="1"/>
      <w:numFmt w:val="bullet"/>
      <w:lvlText w:val=""/>
      <w:lvlJc w:val="left"/>
      <w:pPr>
        <w:ind w:left="5040" w:hanging="360"/>
      </w:pPr>
      <w:rPr>
        <w:rFonts w:ascii="Symbol" w:hAnsi="Symbol" w:hint="default"/>
      </w:rPr>
    </w:lvl>
    <w:lvl w:ilvl="7" w:tplc="88E419B8">
      <w:start w:val="1"/>
      <w:numFmt w:val="bullet"/>
      <w:lvlText w:val="o"/>
      <w:lvlJc w:val="left"/>
      <w:pPr>
        <w:ind w:left="5760" w:hanging="360"/>
      </w:pPr>
      <w:rPr>
        <w:rFonts w:ascii="Courier New" w:hAnsi="Courier New" w:cs="Times New Roman" w:hint="default"/>
      </w:rPr>
    </w:lvl>
    <w:lvl w:ilvl="8" w:tplc="266C4D68">
      <w:start w:val="1"/>
      <w:numFmt w:val="bullet"/>
      <w:lvlText w:val=""/>
      <w:lvlJc w:val="left"/>
      <w:pPr>
        <w:ind w:left="6480" w:hanging="360"/>
      </w:pPr>
      <w:rPr>
        <w:rFonts w:ascii="Wingdings" w:hAnsi="Wingdings" w:hint="default"/>
      </w:rPr>
    </w:lvl>
  </w:abstractNum>
  <w:abstractNum w:abstractNumId="36" w15:restartNumberingAfterBreak="0">
    <w:nsid w:val="75BD1CB5"/>
    <w:multiLevelType w:val="hybridMultilevel"/>
    <w:tmpl w:val="5E823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4D033C"/>
    <w:multiLevelType w:val="multilevel"/>
    <w:tmpl w:val="88B27522"/>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5E7662"/>
    <w:multiLevelType w:val="hybridMultilevel"/>
    <w:tmpl w:val="C966E91E"/>
    <w:lvl w:ilvl="0" w:tplc="E4FE64A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811090">
    <w:abstractNumId w:val="3"/>
  </w:num>
  <w:num w:numId="2" w16cid:durableId="1072048036">
    <w:abstractNumId w:val="36"/>
  </w:num>
  <w:num w:numId="3" w16cid:durableId="1134834530">
    <w:abstractNumId w:val="37"/>
  </w:num>
  <w:num w:numId="4" w16cid:durableId="1208293986">
    <w:abstractNumId w:val="0"/>
  </w:num>
  <w:num w:numId="5" w16cid:durableId="1223060719">
    <w:abstractNumId w:val="9"/>
  </w:num>
  <w:num w:numId="6" w16cid:durableId="1326392952">
    <w:abstractNumId w:val="24"/>
  </w:num>
  <w:num w:numId="7" w16cid:durableId="1368794028">
    <w:abstractNumId w:val="16"/>
  </w:num>
  <w:num w:numId="8" w16cid:durableId="1533029493">
    <w:abstractNumId w:val="20"/>
  </w:num>
  <w:num w:numId="9" w16cid:durableId="1679969065">
    <w:abstractNumId w:val="18"/>
  </w:num>
  <w:num w:numId="10" w16cid:durableId="1756900668">
    <w:abstractNumId w:val="32"/>
  </w:num>
  <w:num w:numId="11" w16cid:durableId="1821270411">
    <w:abstractNumId w:val="2"/>
  </w:num>
  <w:num w:numId="12" w16cid:durableId="1847671151">
    <w:abstractNumId w:val="14"/>
  </w:num>
  <w:num w:numId="13" w16cid:durableId="1912538845">
    <w:abstractNumId w:val="1"/>
  </w:num>
  <w:num w:numId="14" w16cid:durableId="1943107207">
    <w:abstractNumId w:val="21"/>
  </w:num>
  <w:num w:numId="15" w16cid:durableId="1998067337">
    <w:abstractNumId w:val="37"/>
  </w:num>
  <w:num w:numId="16" w16cid:durableId="2035613733">
    <w:abstractNumId w:val="15"/>
  </w:num>
  <w:num w:numId="17" w16cid:durableId="213931187">
    <w:abstractNumId w:val="23"/>
  </w:num>
  <w:num w:numId="18" w16cid:durableId="223223665">
    <w:abstractNumId w:val="31"/>
  </w:num>
  <w:num w:numId="19" w16cid:durableId="23946589">
    <w:abstractNumId w:val="37"/>
  </w:num>
  <w:num w:numId="20" w16cid:durableId="240601941">
    <w:abstractNumId w:val="6"/>
  </w:num>
  <w:num w:numId="21" w16cid:durableId="243536516">
    <w:abstractNumId w:val="37"/>
  </w:num>
  <w:num w:numId="22" w16cid:durableId="259335301">
    <w:abstractNumId w:val="37"/>
  </w:num>
  <w:num w:numId="23" w16cid:durableId="364717286">
    <w:abstractNumId w:val="33"/>
  </w:num>
  <w:num w:numId="24" w16cid:durableId="398015853">
    <w:abstractNumId w:val="26"/>
  </w:num>
  <w:num w:numId="25" w16cid:durableId="398091313">
    <w:abstractNumId w:val="30"/>
  </w:num>
  <w:num w:numId="26" w16cid:durableId="404298498">
    <w:abstractNumId w:val="8"/>
  </w:num>
  <w:num w:numId="27" w16cid:durableId="426582168">
    <w:abstractNumId w:val="7"/>
  </w:num>
  <w:num w:numId="28" w16cid:durableId="483472481">
    <w:abstractNumId w:val="22"/>
  </w:num>
  <w:num w:numId="29" w16cid:durableId="563102482">
    <w:abstractNumId w:val="17"/>
  </w:num>
  <w:num w:numId="30" w16cid:durableId="63185072">
    <w:abstractNumId w:val="19"/>
  </w:num>
  <w:num w:numId="31" w16cid:durableId="649095191">
    <w:abstractNumId w:val="4"/>
  </w:num>
  <w:num w:numId="32" w16cid:durableId="679308186">
    <w:abstractNumId w:val="21"/>
  </w:num>
  <w:num w:numId="33" w16cid:durableId="680818591">
    <w:abstractNumId w:val="34"/>
  </w:num>
  <w:num w:numId="34" w16cid:durableId="681392973">
    <w:abstractNumId w:val="5"/>
  </w:num>
  <w:num w:numId="35" w16cid:durableId="683167669">
    <w:abstractNumId w:val="21"/>
  </w:num>
  <w:num w:numId="36" w16cid:durableId="73627084">
    <w:abstractNumId w:val="13"/>
  </w:num>
  <w:num w:numId="37" w16cid:durableId="838083934">
    <w:abstractNumId w:val="35"/>
  </w:num>
  <w:num w:numId="38" w16cid:durableId="926228299">
    <w:abstractNumId w:val="27"/>
  </w:num>
  <w:num w:numId="39" w16cid:durableId="939944806">
    <w:abstractNumId w:val="37"/>
  </w:num>
  <w:num w:numId="40" w16cid:durableId="952858825">
    <w:abstractNumId w:val="29"/>
  </w:num>
  <w:num w:numId="41" w16cid:durableId="1076515792">
    <w:abstractNumId w:val="12"/>
  </w:num>
  <w:num w:numId="42" w16cid:durableId="1325283370">
    <w:abstractNumId w:val="28"/>
  </w:num>
  <w:num w:numId="43" w16cid:durableId="1659966050">
    <w:abstractNumId w:val="10"/>
  </w:num>
  <w:num w:numId="44" w16cid:durableId="1210459177">
    <w:abstractNumId w:val="38"/>
  </w:num>
  <w:num w:numId="45" w16cid:durableId="812874171">
    <w:abstractNumId w:val="25"/>
  </w:num>
  <w:num w:numId="46" w16cid:durableId="188810163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55"/>
    <w:rsid w:val="0000189D"/>
    <w:rsid w:val="00001E7F"/>
    <w:rsid w:val="00002050"/>
    <w:rsid w:val="00003743"/>
    <w:rsid w:val="000043D8"/>
    <w:rsid w:val="00004EED"/>
    <w:rsid w:val="0000522A"/>
    <w:rsid w:val="000059BF"/>
    <w:rsid w:val="00005B9E"/>
    <w:rsid w:val="000120F8"/>
    <w:rsid w:val="0001305E"/>
    <w:rsid w:val="000142FF"/>
    <w:rsid w:val="0001448E"/>
    <w:rsid w:val="000170B1"/>
    <w:rsid w:val="0002031B"/>
    <w:rsid w:val="0002052A"/>
    <w:rsid w:val="00020668"/>
    <w:rsid w:val="00020833"/>
    <w:rsid w:val="000211A0"/>
    <w:rsid w:val="0002549E"/>
    <w:rsid w:val="00025AB9"/>
    <w:rsid w:val="00026AA7"/>
    <w:rsid w:val="00027926"/>
    <w:rsid w:val="00032787"/>
    <w:rsid w:val="00033250"/>
    <w:rsid w:val="00035399"/>
    <w:rsid w:val="00036012"/>
    <w:rsid w:val="00042409"/>
    <w:rsid w:val="000429C5"/>
    <w:rsid w:val="000446D2"/>
    <w:rsid w:val="0004521D"/>
    <w:rsid w:val="00045A6F"/>
    <w:rsid w:val="000460B4"/>
    <w:rsid w:val="0005142D"/>
    <w:rsid w:val="00051467"/>
    <w:rsid w:val="0005170C"/>
    <w:rsid w:val="00051C01"/>
    <w:rsid w:val="00053289"/>
    <w:rsid w:val="00055DFD"/>
    <w:rsid w:val="00056C41"/>
    <w:rsid w:val="00067456"/>
    <w:rsid w:val="00070607"/>
    <w:rsid w:val="00071670"/>
    <w:rsid w:val="000720C7"/>
    <w:rsid w:val="000725FC"/>
    <w:rsid w:val="000800DD"/>
    <w:rsid w:val="00081C78"/>
    <w:rsid w:val="00083BD7"/>
    <w:rsid w:val="00085722"/>
    <w:rsid w:val="000905DA"/>
    <w:rsid w:val="00092EC1"/>
    <w:rsid w:val="00094AD5"/>
    <w:rsid w:val="00094E16"/>
    <w:rsid w:val="00095A7F"/>
    <w:rsid w:val="00095F99"/>
    <w:rsid w:val="00096AA2"/>
    <w:rsid w:val="000A17C6"/>
    <w:rsid w:val="000A20DC"/>
    <w:rsid w:val="000B14B0"/>
    <w:rsid w:val="000B2D6F"/>
    <w:rsid w:val="000B32D0"/>
    <w:rsid w:val="000B4DC6"/>
    <w:rsid w:val="000B54A5"/>
    <w:rsid w:val="000C4629"/>
    <w:rsid w:val="000C51F6"/>
    <w:rsid w:val="000C553B"/>
    <w:rsid w:val="000C674D"/>
    <w:rsid w:val="000C7345"/>
    <w:rsid w:val="000C792F"/>
    <w:rsid w:val="000D13E8"/>
    <w:rsid w:val="000D20D9"/>
    <w:rsid w:val="000D2A61"/>
    <w:rsid w:val="000D4134"/>
    <w:rsid w:val="000D67CB"/>
    <w:rsid w:val="000E0F0A"/>
    <w:rsid w:val="000E2923"/>
    <w:rsid w:val="000E42B0"/>
    <w:rsid w:val="000E4424"/>
    <w:rsid w:val="000E73A8"/>
    <w:rsid w:val="000E76F2"/>
    <w:rsid w:val="000F0FD7"/>
    <w:rsid w:val="000F153F"/>
    <w:rsid w:val="000F3672"/>
    <w:rsid w:val="000F7D5D"/>
    <w:rsid w:val="00100E31"/>
    <w:rsid w:val="00105464"/>
    <w:rsid w:val="001064F1"/>
    <w:rsid w:val="00111DAE"/>
    <w:rsid w:val="00113DE7"/>
    <w:rsid w:val="00113FCA"/>
    <w:rsid w:val="00116659"/>
    <w:rsid w:val="0011682A"/>
    <w:rsid w:val="00116A00"/>
    <w:rsid w:val="00117030"/>
    <w:rsid w:val="00117AAE"/>
    <w:rsid w:val="00117CBB"/>
    <w:rsid w:val="001222BF"/>
    <w:rsid w:val="001229D6"/>
    <w:rsid w:val="00123AF2"/>
    <w:rsid w:val="00126A96"/>
    <w:rsid w:val="00131C8E"/>
    <w:rsid w:val="001330DA"/>
    <w:rsid w:val="00134C80"/>
    <w:rsid w:val="00137987"/>
    <w:rsid w:val="001404D9"/>
    <w:rsid w:val="00140E1F"/>
    <w:rsid w:val="00140E61"/>
    <w:rsid w:val="00144D2A"/>
    <w:rsid w:val="001458ED"/>
    <w:rsid w:val="001462D1"/>
    <w:rsid w:val="001507E7"/>
    <w:rsid w:val="0015166E"/>
    <w:rsid w:val="00160CEB"/>
    <w:rsid w:val="00162883"/>
    <w:rsid w:val="0016414E"/>
    <w:rsid w:val="00165ED0"/>
    <w:rsid w:val="00166778"/>
    <w:rsid w:val="00170DCB"/>
    <w:rsid w:val="001719FB"/>
    <w:rsid w:val="001740AB"/>
    <w:rsid w:val="0017424A"/>
    <w:rsid w:val="001753A6"/>
    <w:rsid w:val="00176413"/>
    <w:rsid w:val="0018211E"/>
    <w:rsid w:val="001821E0"/>
    <w:rsid w:val="001839DF"/>
    <w:rsid w:val="001847FA"/>
    <w:rsid w:val="00184F01"/>
    <w:rsid w:val="0018546E"/>
    <w:rsid w:val="00186994"/>
    <w:rsid w:val="00187BC6"/>
    <w:rsid w:val="00187C91"/>
    <w:rsid w:val="00193001"/>
    <w:rsid w:val="001956AA"/>
    <w:rsid w:val="00196277"/>
    <w:rsid w:val="0019799A"/>
    <w:rsid w:val="001A160E"/>
    <w:rsid w:val="001A2573"/>
    <w:rsid w:val="001A7758"/>
    <w:rsid w:val="001B06C3"/>
    <w:rsid w:val="001B3443"/>
    <w:rsid w:val="001B70AC"/>
    <w:rsid w:val="001B7DFF"/>
    <w:rsid w:val="001C26F4"/>
    <w:rsid w:val="001C6D4A"/>
    <w:rsid w:val="001D0B66"/>
    <w:rsid w:val="001D1E09"/>
    <w:rsid w:val="001D226D"/>
    <w:rsid w:val="001D2CF1"/>
    <w:rsid w:val="001D302E"/>
    <w:rsid w:val="001D6BF6"/>
    <w:rsid w:val="001E0688"/>
    <w:rsid w:val="001E16E5"/>
    <w:rsid w:val="001E262E"/>
    <w:rsid w:val="001E2DA8"/>
    <w:rsid w:val="001E3185"/>
    <w:rsid w:val="001E400A"/>
    <w:rsid w:val="001E5ED4"/>
    <w:rsid w:val="001F205A"/>
    <w:rsid w:val="001F45D8"/>
    <w:rsid w:val="001F4A2F"/>
    <w:rsid w:val="001F60C6"/>
    <w:rsid w:val="001F66C6"/>
    <w:rsid w:val="0020076C"/>
    <w:rsid w:val="0020077F"/>
    <w:rsid w:val="00201B1E"/>
    <w:rsid w:val="00204CA5"/>
    <w:rsid w:val="0020782A"/>
    <w:rsid w:val="00210A04"/>
    <w:rsid w:val="00213D70"/>
    <w:rsid w:val="00214367"/>
    <w:rsid w:val="002145FE"/>
    <w:rsid w:val="0021520E"/>
    <w:rsid w:val="00216B62"/>
    <w:rsid w:val="0021720E"/>
    <w:rsid w:val="00220441"/>
    <w:rsid w:val="00220A3F"/>
    <w:rsid w:val="002255C8"/>
    <w:rsid w:val="002261ED"/>
    <w:rsid w:val="00230B9D"/>
    <w:rsid w:val="002314B5"/>
    <w:rsid w:val="00232172"/>
    <w:rsid w:val="00232698"/>
    <w:rsid w:val="00234086"/>
    <w:rsid w:val="00234304"/>
    <w:rsid w:val="00234360"/>
    <w:rsid w:val="00234D82"/>
    <w:rsid w:val="002361DA"/>
    <w:rsid w:val="00237308"/>
    <w:rsid w:val="00240537"/>
    <w:rsid w:val="0024465A"/>
    <w:rsid w:val="00247DE3"/>
    <w:rsid w:val="00250D30"/>
    <w:rsid w:val="00251BB8"/>
    <w:rsid w:val="002529B2"/>
    <w:rsid w:val="00253E32"/>
    <w:rsid w:val="002561C4"/>
    <w:rsid w:val="002623DA"/>
    <w:rsid w:val="0026270C"/>
    <w:rsid w:val="00262C02"/>
    <w:rsid w:val="0026621F"/>
    <w:rsid w:val="00266810"/>
    <w:rsid w:val="00270EA2"/>
    <w:rsid w:val="0027112A"/>
    <w:rsid w:val="0027125C"/>
    <w:rsid w:val="002714AE"/>
    <w:rsid w:val="002734CA"/>
    <w:rsid w:val="002739E5"/>
    <w:rsid w:val="00275997"/>
    <w:rsid w:val="00276244"/>
    <w:rsid w:val="00276627"/>
    <w:rsid w:val="002801FC"/>
    <w:rsid w:val="0028047D"/>
    <w:rsid w:val="00280DC8"/>
    <w:rsid w:val="00283AB6"/>
    <w:rsid w:val="0028624E"/>
    <w:rsid w:val="00286A78"/>
    <w:rsid w:val="0029067E"/>
    <w:rsid w:val="00293D5E"/>
    <w:rsid w:val="002966F4"/>
    <w:rsid w:val="00297420"/>
    <w:rsid w:val="00297C25"/>
    <w:rsid w:val="002A07A8"/>
    <w:rsid w:val="002A09B7"/>
    <w:rsid w:val="002A33C1"/>
    <w:rsid w:val="002A5C2F"/>
    <w:rsid w:val="002A5EE8"/>
    <w:rsid w:val="002A5F20"/>
    <w:rsid w:val="002A68D9"/>
    <w:rsid w:val="002A690A"/>
    <w:rsid w:val="002A6C1C"/>
    <w:rsid w:val="002A7BEB"/>
    <w:rsid w:val="002B060F"/>
    <w:rsid w:val="002B0809"/>
    <w:rsid w:val="002B2C9B"/>
    <w:rsid w:val="002C304F"/>
    <w:rsid w:val="002C4410"/>
    <w:rsid w:val="002C46F1"/>
    <w:rsid w:val="002C4CDB"/>
    <w:rsid w:val="002D2C44"/>
    <w:rsid w:val="002D3B5A"/>
    <w:rsid w:val="002D4F16"/>
    <w:rsid w:val="002D6548"/>
    <w:rsid w:val="002E0B0F"/>
    <w:rsid w:val="002E447F"/>
    <w:rsid w:val="002E5AB5"/>
    <w:rsid w:val="002E6C16"/>
    <w:rsid w:val="002E7C98"/>
    <w:rsid w:val="002F1228"/>
    <w:rsid w:val="002F17EB"/>
    <w:rsid w:val="002F30D7"/>
    <w:rsid w:val="002F3AE3"/>
    <w:rsid w:val="002F7EA5"/>
    <w:rsid w:val="0030786C"/>
    <w:rsid w:val="00312899"/>
    <w:rsid w:val="003158BA"/>
    <w:rsid w:val="00320433"/>
    <w:rsid w:val="0032194D"/>
    <w:rsid w:val="0032563D"/>
    <w:rsid w:val="00336372"/>
    <w:rsid w:val="0033657D"/>
    <w:rsid w:val="00337C98"/>
    <w:rsid w:val="00340768"/>
    <w:rsid w:val="00341F1D"/>
    <w:rsid w:val="003429D7"/>
    <w:rsid w:val="00342C59"/>
    <w:rsid w:val="00344241"/>
    <w:rsid w:val="00345B20"/>
    <w:rsid w:val="003462E8"/>
    <w:rsid w:val="0034680E"/>
    <w:rsid w:val="00346B34"/>
    <w:rsid w:val="003504D7"/>
    <w:rsid w:val="00356869"/>
    <w:rsid w:val="00356D51"/>
    <w:rsid w:val="00357C22"/>
    <w:rsid w:val="0036185A"/>
    <w:rsid w:val="003640A0"/>
    <w:rsid w:val="003674B3"/>
    <w:rsid w:val="0036755D"/>
    <w:rsid w:val="003747A2"/>
    <w:rsid w:val="00374EBA"/>
    <w:rsid w:val="0037546C"/>
    <w:rsid w:val="00375A5A"/>
    <w:rsid w:val="00375DFE"/>
    <w:rsid w:val="00376001"/>
    <w:rsid w:val="00377133"/>
    <w:rsid w:val="00377BE0"/>
    <w:rsid w:val="00377C18"/>
    <w:rsid w:val="00380F02"/>
    <w:rsid w:val="00381467"/>
    <w:rsid w:val="00381BD3"/>
    <w:rsid w:val="0038284E"/>
    <w:rsid w:val="00386305"/>
    <w:rsid w:val="0038735D"/>
    <w:rsid w:val="003922B1"/>
    <w:rsid w:val="003957B9"/>
    <w:rsid w:val="00397DB1"/>
    <w:rsid w:val="003A14F9"/>
    <w:rsid w:val="003A1FE9"/>
    <w:rsid w:val="003A4476"/>
    <w:rsid w:val="003A5FA2"/>
    <w:rsid w:val="003A68AE"/>
    <w:rsid w:val="003B285B"/>
    <w:rsid w:val="003B298D"/>
    <w:rsid w:val="003B4F90"/>
    <w:rsid w:val="003C0207"/>
    <w:rsid w:val="003C0DD0"/>
    <w:rsid w:val="003C106D"/>
    <w:rsid w:val="003C2982"/>
    <w:rsid w:val="003C4920"/>
    <w:rsid w:val="003C5FEC"/>
    <w:rsid w:val="003C7959"/>
    <w:rsid w:val="003D17F9"/>
    <w:rsid w:val="003D1FA7"/>
    <w:rsid w:val="003D28EA"/>
    <w:rsid w:val="003D4762"/>
    <w:rsid w:val="003D5DB0"/>
    <w:rsid w:val="003D6800"/>
    <w:rsid w:val="003E21DC"/>
    <w:rsid w:val="003E4288"/>
    <w:rsid w:val="003E4EE2"/>
    <w:rsid w:val="003E5617"/>
    <w:rsid w:val="003E626A"/>
    <w:rsid w:val="003F0F51"/>
    <w:rsid w:val="003F2CC9"/>
    <w:rsid w:val="003F79BB"/>
    <w:rsid w:val="00400A6E"/>
    <w:rsid w:val="0041186F"/>
    <w:rsid w:val="00411C77"/>
    <w:rsid w:val="00412552"/>
    <w:rsid w:val="00412964"/>
    <w:rsid w:val="00413DD7"/>
    <w:rsid w:val="00415A39"/>
    <w:rsid w:val="004160B4"/>
    <w:rsid w:val="00416244"/>
    <w:rsid w:val="004168F9"/>
    <w:rsid w:val="00416C47"/>
    <w:rsid w:val="00417159"/>
    <w:rsid w:val="0043058F"/>
    <w:rsid w:val="004307F1"/>
    <w:rsid w:val="00431018"/>
    <w:rsid w:val="0043234A"/>
    <w:rsid w:val="0043466D"/>
    <w:rsid w:val="00437CBD"/>
    <w:rsid w:val="00440FB6"/>
    <w:rsid w:val="00443FF5"/>
    <w:rsid w:val="00446229"/>
    <w:rsid w:val="00452B01"/>
    <w:rsid w:val="0045413B"/>
    <w:rsid w:val="00454F96"/>
    <w:rsid w:val="00456B74"/>
    <w:rsid w:val="00460250"/>
    <w:rsid w:val="00464521"/>
    <w:rsid w:val="00465A0F"/>
    <w:rsid w:val="00467283"/>
    <w:rsid w:val="00467DC3"/>
    <w:rsid w:val="00467ED8"/>
    <w:rsid w:val="00470CFD"/>
    <w:rsid w:val="00475B36"/>
    <w:rsid w:val="004760C6"/>
    <w:rsid w:val="00476D33"/>
    <w:rsid w:val="0047720C"/>
    <w:rsid w:val="00484362"/>
    <w:rsid w:val="004867E2"/>
    <w:rsid w:val="004872E0"/>
    <w:rsid w:val="00492BB8"/>
    <w:rsid w:val="00493AF8"/>
    <w:rsid w:val="00494CD0"/>
    <w:rsid w:val="00496A81"/>
    <w:rsid w:val="004A014B"/>
    <w:rsid w:val="004A1427"/>
    <w:rsid w:val="004A52DB"/>
    <w:rsid w:val="004A5B60"/>
    <w:rsid w:val="004A695C"/>
    <w:rsid w:val="004B0088"/>
    <w:rsid w:val="004B0414"/>
    <w:rsid w:val="004B0479"/>
    <w:rsid w:val="004B0FDD"/>
    <w:rsid w:val="004C1521"/>
    <w:rsid w:val="004C2140"/>
    <w:rsid w:val="004C2185"/>
    <w:rsid w:val="004C2D44"/>
    <w:rsid w:val="004C5B97"/>
    <w:rsid w:val="004C6DCD"/>
    <w:rsid w:val="004C70FD"/>
    <w:rsid w:val="004C7366"/>
    <w:rsid w:val="004D1163"/>
    <w:rsid w:val="004D71B5"/>
    <w:rsid w:val="004E0D67"/>
    <w:rsid w:val="004E22B5"/>
    <w:rsid w:val="004E3288"/>
    <w:rsid w:val="004E386F"/>
    <w:rsid w:val="004E456C"/>
    <w:rsid w:val="004E59E7"/>
    <w:rsid w:val="004E5E8F"/>
    <w:rsid w:val="004E65C9"/>
    <w:rsid w:val="004E711F"/>
    <w:rsid w:val="004E71C4"/>
    <w:rsid w:val="004E77B3"/>
    <w:rsid w:val="004F0756"/>
    <w:rsid w:val="004F16B4"/>
    <w:rsid w:val="004F1C11"/>
    <w:rsid w:val="004F33F8"/>
    <w:rsid w:val="004F5B2E"/>
    <w:rsid w:val="004F6579"/>
    <w:rsid w:val="004F7B81"/>
    <w:rsid w:val="004F7CBB"/>
    <w:rsid w:val="005007D5"/>
    <w:rsid w:val="00501158"/>
    <w:rsid w:val="00502213"/>
    <w:rsid w:val="00502276"/>
    <w:rsid w:val="00512285"/>
    <w:rsid w:val="00513868"/>
    <w:rsid w:val="00515A0D"/>
    <w:rsid w:val="005207EF"/>
    <w:rsid w:val="005237E0"/>
    <w:rsid w:val="00530F18"/>
    <w:rsid w:val="00533015"/>
    <w:rsid w:val="00533BF7"/>
    <w:rsid w:val="005345AA"/>
    <w:rsid w:val="00534894"/>
    <w:rsid w:val="00534E98"/>
    <w:rsid w:val="005353CF"/>
    <w:rsid w:val="00537432"/>
    <w:rsid w:val="00541F79"/>
    <w:rsid w:val="005436D4"/>
    <w:rsid w:val="00545394"/>
    <w:rsid w:val="0054744D"/>
    <w:rsid w:val="005526AB"/>
    <w:rsid w:val="0055585B"/>
    <w:rsid w:val="0055667D"/>
    <w:rsid w:val="00556A5D"/>
    <w:rsid w:val="0055750E"/>
    <w:rsid w:val="0056401E"/>
    <w:rsid w:val="005640EE"/>
    <w:rsid w:val="005644CC"/>
    <w:rsid w:val="005723D0"/>
    <w:rsid w:val="0057261F"/>
    <w:rsid w:val="00572756"/>
    <w:rsid w:val="00572B0C"/>
    <w:rsid w:val="00573A6C"/>
    <w:rsid w:val="00580DEF"/>
    <w:rsid w:val="00582040"/>
    <w:rsid w:val="00587511"/>
    <w:rsid w:val="00587785"/>
    <w:rsid w:val="00587D31"/>
    <w:rsid w:val="00590EFE"/>
    <w:rsid w:val="0059200A"/>
    <w:rsid w:val="00592433"/>
    <w:rsid w:val="00597BAD"/>
    <w:rsid w:val="005A108D"/>
    <w:rsid w:val="005A1F17"/>
    <w:rsid w:val="005A2FAB"/>
    <w:rsid w:val="005A42EE"/>
    <w:rsid w:val="005A7E7C"/>
    <w:rsid w:val="005B054E"/>
    <w:rsid w:val="005B2027"/>
    <w:rsid w:val="005B2B10"/>
    <w:rsid w:val="005B3921"/>
    <w:rsid w:val="005B5C99"/>
    <w:rsid w:val="005B7029"/>
    <w:rsid w:val="005B7A7A"/>
    <w:rsid w:val="005B7E35"/>
    <w:rsid w:val="005C0052"/>
    <w:rsid w:val="005C133B"/>
    <w:rsid w:val="005C43BB"/>
    <w:rsid w:val="005C58E3"/>
    <w:rsid w:val="005D2EFD"/>
    <w:rsid w:val="005D7080"/>
    <w:rsid w:val="005E05B5"/>
    <w:rsid w:val="005E1C1A"/>
    <w:rsid w:val="005E1D4E"/>
    <w:rsid w:val="005E2659"/>
    <w:rsid w:val="005E4368"/>
    <w:rsid w:val="005F0697"/>
    <w:rsid w:val="005F0D9C"/>
    <w:rsid w:val="005F3549"/>
    <w:rsid w:val="005F41F5"/>
    <w:rsid w:val="005F51D7"/>
    <w:rsid w:val="005F520E"/>
    <w:rsid w:val="005F5C6A"/>
    <w:rsid w:val="005F603C"/>
    <w:rsid w:val="005F7343"/>
    <w:rsid w:val="005F7C8F"/>
    <w:rsid w:val="00600961"/>
    <w:rsid w:val="0060119F"/>
    <w:rsid w:val="00602720"/>
    <w:rsid w:val="006048DA"/>
    <w:rsid w:val="006048E6"/>
    <w:rsid w:val="0060645B"/>
    <w:rsid w:val="00606DE0"/>
    <w:rsid w:val="006136DE"/>
    <w:rsid w:val="006152AE"/>
    <w:rsid w:val="006168C5"/>
    <w:rsid w:val="00617CAE"/>
    <w:rsid w:val="006225A7"/>
    <w:rsid w:val="00622FD6"/>
    <w:rsid w:val="006237F8"/>
    <w:rsid w:val="006245CD"/>
    <w:rsid w:val="0062463F"/>
    <w:rsid w:val="00625407"/>
    <w:rsid w:val="00627662"/>
    <w:rsid w:val="00627A95"/>
    <w:rsid w:val="00630E5A"/>
    <w:rsid w:val="0063274F"/>
    <w:rsid w:val="00637327"/>
    <w:rsid w:val="0064507D"/>
    <w:rsid w:val="00645409"/>
    <w:rsid w:val="006461D6"/>
    <w:rsid w:val="00651697"/>
    <w:rsid w:val="00652EBC"/>
    <w:rsid w:val="00653024"/>
    <w:rsid w:val="00655148"/>
    <w:rsid w:val="00655B86"/>
    <w:rsid w:val="00656BAA"/>
    <w:rsid w:val="0065703C"/>
    <w:rsid w:val="00660309"/>
    <w:rsid w:val="00663358"/>
    <w:rsid w:val="00663569"/>
    <w:rsid w:val="00664DCD"/>
    <w:rsid w:val="00673184"/>
    <w:rsid w:val="00673A32"/>
    <w:rsid w:val="00673C3B"/>
    <w:rsid w:val="0067455F"/>
    <w:rsid w:val="006746F2"/>
    <w:rsid w:val="00676187"/>
    <w:rsid w:val="00681CFB"/>
    <w:rsid w:val="00682A42"/>
    <w:rsid w:val="00682D8E"/>
    <w:rsid w:val="006845E3"/>
    <w:rsid w:val="00684B71"/>
    <w:rsid w:val="00684CD1"/>
    <w:rsid w:val="00685426"/>
    <w:rsid w:val="00690AD5"/>
    <w:rsid w:val="00693073"/>
    <w:rsid w:val="006940B9"/>
    <w:rsid w:val="0069536E"/>
    <w:rsid w:val="0069680D"/>
    <w:rsid w:val="006975F1"/>
    <w:rsid w:val="00697D1D"/>
    <w:rsid w:val="006A0A1B"/>
    <w:rsid w:val="006A180E"/>
    <w:rsid w:val="006A20DB"/>
    <w:rsid w:val="006A2C9D"/>
    <w:rsid w:val="006A562B"/>
    <w:rsid w:val="006A602C"/>
    <w:rsid w:val="006B6658"/>
    <w:rsid w:val="006B77A9"/>
    <w:rsid w:val="006B7A10"/>
    <w:rsid w:val="006C1D59"/>
    <w:rsid w:val="006C5739"/>
    <w:rsid w:val="006C5B7C"/>
    <w:rsid w:val="006C610B"/>
    <w:rsid w:val="006D0F47"/>
    <w:rsid w:val="006D11B1"/>
    <w:rsid w:val="006D2CCA"/>
    <w:rsid w:val="006D509A"/>
    <w:rsid w:val="006E18EB"/>
    <w:rsid w:val="006E28AA"/>
    <w:rsid w:val="006E2C50"/>
    <w:rsid w:val="006E53F7"/>
    <w:rsid w:val="006E5B16"/>
    <w:rsid w:val="006E5F06"/>
    <w:rsid w:val="006E6845"/>
    <w:rsid w:val="006E7105"/>
    <w:rsid w:val="006E792F"/>
    <w:rsid w:val="006F23B7"/>
    <w:rsid w:val="006F2517"/>
    <w:rsid w:val="00702B5B"/>
    <w:rsid w:val="007034AC"/>
    <w:rsid w:val="00704244"/>
    <w:rsid w:val="00704248"/>
    <w:rsid w:val="00704E72"/>
    <w:rsid w:val="00707792"/>
    <w:rsid w:val="00707861"/>
    <w:rsid w:val="00707B54"/>
    <w:rsid w:val="00707EF0"/>
    <w:rsid w:val="0071379F"/>
    <w:rsid w:val="007139AD"/>
    <w:rsid w:val="0071411C"/>
    <w:rsid w:val="00714308"/>
    <w:rsid w:val="00724231"/>
    <w:rsid w:val="00725DE9"/>
    <w:rsid w:val="00726677"/>
    <w:rsid w:val="0073023B"/>
    <w:rsid w:val="0073402C"/>
    <w:rsid w:val="00736BAA"/>
    <w:rsid w:val="00740B19"/>
    <w:rsid w:val="00743132"/>
    <w:rsid w:val="00746866"/>
    <w:rsid w:val="00752A47"/>
    <w:rsid w:val="0075358F"/>
    <w:rsid w:val="00754412"/>
    <w:rsid w:val="007554A8"/>
    <w:rsid w:val="007563EC"/>
    <w:rsid w:val="00756EFB"/>
    <w:rsid w:val="00760CC9"/>
    <w:rsid w:val="00762A4F"/>
    <w:rsid w:val="007637A6"/>
    <w:rsid w:val="00766144"/>
    <w:rsid w:val="00766DC9"/>
    <w:rsid w:val="00766E60"/>
    <w:rsid w:val="00771BBC"/>
    <w:rsid w:val="007726AF"/>
    <w:rsid w:val="00773BD7"/>
    <w:rsid w:val="00774105"/>
    <w:rsid w:val="00774CE4"/>
    <w:rsid w:val="00774D91"/>
    <w:rsid w:val="00775A0A"/>
    <w:rsid w:val="00775F41"/>
    <w:rsid w:val="007772B9"/>
    <w:rsid w:val="00777CE6"/>
    <w:rsid w:val="00777E37"/>
    <w:rsid w:val="007804CA"/>
    <w:rsid w:val="0078083B"/>
    <w:rsid w:val="00781114"/>
    <w:rsid w:val="00781DD1"/>
    <w:rsid w:val="00783C81"/>
    <w:rsid w:val="00784BA5"/>
    <w:rsid w:val="007856D2"/>
    <w:rsid w:val="007862E0"/>
    <w:rsid w:val="00787EEE"/>
    <w:rsid w:val="00790700"/>
    <w:rsid w:val="0079455A"/>
    <w:rsid w:val="007949F6"/>
    <w:rsid w:val="007961E3"/>
    <w:rsid w:val="0079630C"/>
    <w:rsid w:val="007970E3"/>
    <w:rsid w:val="007A0A9A"/>
    <w:rsid w:val="007A2E57"/>
    <w:rsid w:val="007A335F"/>
    <w:rsid w:val="007A5BA2"/>
    <w:rsid w:val="007A5E7E"/>
    <w:rsid w:val="007A76CE"/>
    <w:rsid w:val="007A77E5"/>
    <w:rsid w:val="007A79E3"/>
    <w:rsid w:val="007B0302"/>
    <w:rsid w:val="007B10A3"/>
    <w:rsid w:val="007B226C"/>
    <w:rsid w:val="007B6959"/>
    <w:rsid w:val="007C0555"/>
    <w:rsid w:val="007C3A53"/>
    <w:rsid w:val="007C3DCC"/>
    <w:rsid w:val="007C5A12"/>
    <w:rsid w:val="007D1610"/>
    <w:rsid w:val="007D3EED"/>
    <w:rsid w:val="007D40C3"/>
    <w:rsid w:val="007D51F6"/>
    <w:rsid w:val="007D5A96"/>
    <w:rsid w:val="007D702D"/>
    <w:rsid w:val="007D7D93"/>
    <w:rsid w:val="007E1539"/>
    <w:rsid w:val="007E1895"/>
    <w:rsid w:val="007E71AB"/>
    <w:rsid w:val="007F241B"/>
    <w:rsid w:val="007F24B8"/>
    <w:rsid w:val="007F45ED"/>
    <w:rsid w:val="007F4FC1"/>
    <w:rsid w:val="007F7A9F"/>
    <w:rsid w:val="00800139"/>
    <w:rsid w:val="0080184A"/>
    <w:rsid w:val="00803131"/>
    <w:rsid w:val="008065FA"/>
    <w:rsid w:val="008075DF"/>
    <w:rsid w:val="0080764D"/>
    <w:rsid w:val="0081185B"/>
    <w:rsid w:val="008216C2"/>
    <w:rsid w:val="0082593C"/>
    <w:rsid w:val="008264EB"/>
    <w:rsid w:val="00827C1F"/>
    <w:rsid w:val="00827D02"/>
    <w:rsid w:val="00830ACD"/>
    <w:rsid w:val="00833D38"/>
    <w:rsid w:val="00836492"/>
    <w:rsid w:val="008367D0"/>
    <w:rsid w:val="008423AF"/>
    <w:rsid w:val="008425AE"/>
    <w:rsid w:val="008456FE"/>
    <w:rsid w:val="00846CAB"/>
    <w:rsid w:val="00847718"/>
    <w:rsid w:val="0085485D"/>
    <w:rsid w:val="00855B7E"/>
    <w:rsid w:val="0085604C"/>
    <w:rsid w:val="00865F95"/>
    <w:rsid w:val="0087048E"/>
    <w:rsid w:val="00871D48"/>
    <w:rsid w:val="00872ED2"/>
    <w:rsid w:val="00873BF8"/>
    <w:rsid w:val="008753AD"/>
    <w:rsid w:val="0087601B"/>
    <w:rsid w:val="00876C29"/>
    <w:rsid w:val="0087775A"/>
    <w:rsid w:val="008806D4"/>
    <w:rsid w:val="0088119C"/>
    <w:rsid w:val="0088179C"/>
    <w:rsid w:val="008817C8"/>
    <w:rsid w:val="0088249A"/>
    <w:rsid w:val="00882994"/>
    <w:rsid w:val="008831A6"/>
    <w:rsid w:val="008836B5"/>
    <w:rsid w:val="00890639"/>
    <w:rsid w:val="00890C80"/>
    <w:rsid w:val="0089215E"/>
    <w:rsid w:val="00892970"/>
    <w:rsid w:val="00893098"/>
    <w:rsid w:val="00893868"/>
    <w:rsid w:val="0089386A"/>
    <w:rsid w:val="00894A8E"/>
    <w:rsid w:val="00896CB5"/>
    <w:rsid w:val="00897717"/>
    <w:rsid w:val="00897F03"/>
    <w:rsid w:val="008A0511"/>
    <w:rsid w:val="008A0D3D"/>
    <w:rsid w:val="008A1295"/>
    <w:rsid w:val="008A1623"/>
    <w:rsid w:val="008A2666"/>
    <w:rsid w:val="008A28AC"/>
    <w:rsid w:val="008A2C39"/>
    <w:rsid w:val="008B1109"/>
    <w:rsid w:val="008B1391"/>
    <w:rsid w:val="008B3292"/>
    <w:rsid w:val="008B34EF"/>
    <w:rsid w:val="008B350C"/>
    <w:rsid w:val="008B4520"/>
    <w:rsid w:val="008C0D5B"/>
    <w:rsid w:val="008C2DD2"/>
    <w:rsid w:val="008C3947"/>
    <w:rsid w:val="008C623F"/>
    <w:rsid w:val="008D1BB2"/>
    <w:rsid w:val="008D1E29"/>
    <w:rsid w:val="008D335D"/>
    <w:rsid w:val="008D3C43"/>
    <w:rsid w:val="008D440E"/>
    <w:rsid w:val="008D4634"/>
    <w:rsid w:val="008D61FC"/>
    <w:rsid w:val="008D72F3"/>
    <w:rsid w:val="008D75B7"/>
    <w:rsid w:val="008D79AC"/>
    <w:rsid w:val="008E02FD"/>
    <w:rsid w:val="008E10CC"/>
    <w:rsid w:val="008E11D6"/>
    <w:rsid w:val="008E39FD"/>
    <w:rsid w:val="008E3BA4"/>
    <w:rsid w:val="008E4B35"/>
    <w:rsid w:val="008E577B"/>
    <w:rsid w:val="008E6E54"/>
    <w:rsid w:val="008E7D95"/>
    <w:rsid w:val="008F057C"/>
    <w:rsid w:val="008F25ED"/>
    <w:rsid w:val="008F32E6"/>
    <w:rsid w:val="008F3556"/>
    <w:rsid w:val="008F44CF"/>
    <w:rsid w:val="008F58ED"/>
    <w:rsid w:val="0090384D"/>
    <w:rsid w:val="00907FC4"/>
    <w:rsid w:val="00911E1C"/>
    <w:rsid w:val="00912A86"/>
    <w:rsid w:val="00912B83"/>
    <w:rsid w:val="0091341A"/>
    <w:rsid w:val="009140C5"/>
    <w:rsid w:val="0091422B"/>
    <w:rsid w:val="00915E62"/>
    <w:rsid w:val="009164AF"/>
    <w:rsid w:val="00920D02"/>
    <w:rsid w:val="0092145F"/>
    <w:rsid w:val="00921BE4"/>
    <w:rsid w:val="00921BFA"/>
    <w:rsid w:val="00923307"/>
    <w:rsid w:val="009239FF"/>
    <w:rsid w:val="00924422"/>
    <w:rsid w:val="0092521A"/>
    <w:rsid w:val="00927231"/>
    <w:rsid w:val="009279B2"/>
    <w:rsid w:val="00930E1D"/>
    <w:rsid w:val="0093132E"/>
    <w:rsid w:val="00933111"/>
    <w:rsid w:val="009336F3"/>
    <w:rsid w:val="00936656"/>
    <w:rsid w:val="0093758F"/>
    <w:rsid w:val="00941454"/>
    <w:rsid w:val="00941A7F"/>
    <w:rsid w:val="00941DB6"/>
    <w:rsid w:val="00942613"/>
    <w:rsid w:val="009437AA"/>
    <w:rsid w:val="00944626"/>
    <w:rsid w:val="0094503D"/>
    <w:rsid w:val="009457B5"/>
    <w:rsid w:val="0094585F"/>
    <w:rsid w:val="0094691B"/>
    <w:rsid w:val="00950273"/>
    <w:rsid w:val="0095120D"/>
    <w:rsid w:val="009528A6"/>
    <w:rsid w:val="00952BA0"/>
    <w:rsid w:val="00956DD5"/>
    <w:rsid w:val="009612E2"/>
    <w:rsid w:val="00961FAE"/>
    <w:rsid w:val="00964C26"/>
    <w:rsid w:val="00966CFC"/>
    <w:rsid w:val="009708BA"/>
    <w:rsid w:val="00970B8F"/>
    <w:rsid w:val="0097113B"/>
    <w:rsid w:val="00972732"/>
    <w:rsid w:val="00973CEC"/>
    <w:rsid w:val="00974A12"/>
    <w:rsid w:val="00975E32"/>
    <w:rsid w:val="00976F46"/>
    <w:rsid w:val="00977820"/>
    <w:rsid w:val="00980F86"/>
    <w:rsid w:val="009820F4"/>
    <w:rsid w:val="00982D54"/>
    <w:rsid w:val="00983178"/>
    <w:rsid w:val="00983653"/>
    <w:rsid w:val="00984E67"/>
    <w:rsid w:val="00985280"/>
    <w:rsid w:val="00985A8D"/>
    <w:rsid w:val="00992F31"/>
    <w:rsid w:val="00995888"/>
    <w:rsid w:val="009A0209"/>
    <w:rsid w:val="009A0E80"/>
    <w:rsid w:val="009A18B4"/>
    <w:rsid w:val="009A2170"/>
    <w:rsid w:val="009A2D59"/>
    <w:rsid w:val="009A2EC0"/>
    <w:rsid w:val="009A3117"/>
    <w:rsid w:val="009A3C5E"/>
    <w:rsid w:val="009A3CA1"/>
    <w:rsid w:val="009A4462"/>
    <w:rsid w:val="009A48E9"/>
    <w:rsid w:val="009A4A8C"/>
    <w:rsid w:val="009A5EAE"/>
    <w:rsid w:val="009A7E74"/>
    <w:rsid w:val="009B124E"/>
    <w:rsid w:val="009B29A7"/>
    <w:rsid w:val="009B4B18"/>
    <w:rsid w:val="009B5E94"/>
    <w:rsid w:val="009B6B2E"/>
    <w:rsid w:val="009B6E50"/>
    <w:rsid w:val="009C0448"/>
    <w:rsid w:val="009C246C"/>
    <w:rsid w:val="009C4478"/>
    <w:rsid w:val="009C53DA"/>
    <w:rsid w:val="009C58C6"/>
    <w:rsid w:val="009C7024"/>
    <w:rsid w:val="009D0280"/>
    <w:rsid w:val="009D068C"/>
    <w:rsid w:val="009D5B89"/>
    <w:rsid w:val="009E03F6"/>
    <w:rsid w:val="009E0E07"/>
    <w:rsid w:val="009E2703"/>
    <w:rsid w:val="009E5E01"/>
    <w:rsid w:val="009E6DD7"/>
    <w:rsid w:val="009F0C03"/>
    <w:rsid w:val="009F2FD4"/>
    <w:rsid w:val="009F448B"/>
    <w:rsid w:val="009F5AD8"/>
    <w:rsid w:val="009F75CC"/>
    <w:rsid w:val="009F7ED0"/>
    <w:rsid w:val="00A00175"/>
    <w:rsid w:val="00A00660"/>
    <w:rsid w:val="00A00A05"/>
    <w:rsid w:val="00A01AA6"/>
    <w:rsid w:val="00A02F2D"/>
    <w:rsid w:val="00A04CA9"/>
    <w:rsid w:val="00A057E5"/>
    <w:rsid w:val="00A05AD0"/>
    <w:rsid w:val="00A0620A"/>
    <w:rsid w:val="00A06DF8"/>
    <w:rsid w:val="00A07FC4"/>
    <w:rsid w:val="00A11322"/>
    <w:rsid w:val="00A12423"/>
    <w:rsid w:val="00A13CF4"/>
    <w:rsid w:val="00A17DE3"/>
    <w:rsid w:val="00A20201"/>
    <w:rsid w:val="00A205B7"/>
    <w:rsid w:val="00A224CB"/>
    <w:rsid w:val="00A2277D"/>
    <w:rsid w:val="00A25A5C"/>
    <w:rsid w:val="00A2609D"/>
    <w:rsid w:val="00A26B9F"/>
    <w:rsid w:val="00A27AB4"/>
    <w:rsid w:val="00A3088F"/>
    <w:rsid w:val="00A31099"/>
    <w:rsid w:val="00A333E9"/>
    <w:rsid w:val="00A35344"/>
    <w:rsid w:val="00A35D44"/>
    <w:rsid w:val="00A37818"/>
    <w:rsid w:val="00A37D06"/>
    <w:rsid w:val="00A415B5"/>
    <w:rsid w:val="00A43FE5"/>
    <w:rsid w:val="00A44381"/>
    <w:rsid w:val="00A44413"/>
    <w:rsid w:val="00A4512D"/>
    <w:rsid w:val="00A4527C"/>
    <w:rsid w:val="00A45AF4"/>
    <w:rsid w:val="00A464C2"/>
    <w:rsid w:val="00A501CB"/>
    <w:rsid w:val="00A54697"/>
    <w:rsid w:val="00A54815"/>
    <w:rsid w:val="00A55ADF"/>
    <w:rsid w:val="00A57254"/>
    <w:rsid w:val="00A60205"/>
    <w:rsid w:val="00A60956"/>
    <w:rsid w:val="00A61238"/>
    <w:rsid w:val="00A636F2"/>
    <w:rsid w:val="00A63B34"/>
    <w:rsid w:val="00A70193"/>
    <w:rsid w:val="00A705AF"/>
    <w:rsid w:val="00A70E4F"/>
    <w:rsid w:val="00A71C1A"/>
    <w:rsid w:val="00A747EB"/>
    <w:rsid w:val="00A75664"/>
    <w:rsid w:val="00A772DC"/>
    <w:rsid w:val="00A7737A"/>
    <w:rsid w:val="00A8248B"/>
    <w:rsid w:val="00A83F3F"/>
    <w:rsid w:val="00A8782C"/>
    <w:rsid w:val="00A9332B"/>
    <w:rsid w:val="00A939D5"/>
    <w:rsid w:val="00A94256"/>
    <w:rsid w:val="00A942A3"/>
    <w:rsid w:val="00A9483C"/>
    <w:rsid w:val="00A95142"/>
    <w:rsid w:val="00AA4645"/>
    <w:rsid w:val="00AA615D"/>
    <w:rsid w:val="00AA762D"/>
    <w:rsid w:val="00AB0990"/>
    <w:rsid w:val="00AB0B63"/>
    <w:rsid w:val="00AB2878"/>
    <w:rsid w:val="00AB3268"/>
    <w:rsid w:val="00AB5741"/>
    <w:rsid w:val="00AB7034"/>
    <w:rsid w:val="00AB7150"/>
    <w:rsid w:val="00AC2AB6"/>
    <w:rsid w:val="00AD0CE8"/>
    <w:rsid w:val="00AD1176"/>
    <w:rsid w:val="00AD3742"/>
    <w:rsid w:val="00AD5250"/>
    <w:rsid w:val="00AD5E5A"/>
    <w:rsid w:val="00AD6C26"/>
    <w:rsid w:val="00AE0EC2"/>
    <w:rsid w:val="00AE1814"/>
    <w:rsid w:val="00AE1CFC"/>
    <w:rsid w:val="00AE470F"/>
    <w:rsid w:val="00AE71AA"/>
    <w:rsid w:val="00AE7787"/>
    <w:rsid w:val="00AE7803"/>
    <w:rsid w:val="00AE7A7B"/>
    <w:rsid w:val="00AF0602"/>
    <w:rsid w:val="00AF39A7"/>
    <w:rsid w:val="00AF3F09"/>
    <w:rsid w:val="00AF404D"/>
    <w:rsid w:val="00AF46DE"/>
    <w:rsid w:val="00AF472C"/>
    <w:rsid w:val="00AF51D9"/>
    <w:rsid w:val="00AF6BC4"/>
    <w:rsid w:val="00AF72AD"/>
    <w:rsid w:val="00AF7679"/>
    <w:rsid w:val="00B012B7"/>
    <w:rsid w:val="00B01BE6"/>
    <w:rsid w:val="00B04AAE"/>
    <w:rsid w:val="00B061CF"/>
    <w:rsid w:val="00B0661D"/>
    <w:rsid w:val="00B0671F"/>
    <w:rsid w:val="00B07EFD"/>
    <w:rsid w:val="00B110E7"/>
    <w:rsid w:val="00B1159B"/>
    <w:rsid w:val="00B13667"/>
    <w:rsid w:val="00B1426A"/>
    <w:rsid w:val="00B15685"/>
    <w:rsid w:val="00B16B2D"/>
    <w:rsid w:val="00B17303"/>
    <w:rsid w:val="00B21533"/>
    <w:rsid w:val="00B21CBC"/>
    <w:rsid w:val="00B24CB4"/>
    <w:rsid w:val="00B344E3"/>
    <w:rsid w:val="00B42851"/>
    <w:rsid w:val="00B42B50"/>
    <w:rsid w:val="00B43A8E"/>
    <w:rsid w:val="00B442EB"/>
    <w:rsid w:val="00B47523"/>
    <w:rsid w:val="00B5013B"/>
    <w:rsid w:val="00B502EA"/>
    <w:rsid w:val="00B52211"/>
    <w:rsid w:val="00B53929"/>
    <w:rsid w:val="00B54FE9"/>
    <w:rsid w:val="00B55710"/>
    <w:rsid w:val="00B56DC9"/>
    <w:rsid w:val="00B632AA"/>
    <w:rsid w:val="00B651DD"/>
    <w:rsid w:val="00B65AE0"/>
    <w:rsid w:val="00B6673C"/>
    <w:rsid w:val="00B70909"/>
    <w:rsid w:val="00B7398F"/>
    <w:rsid w:val="00B73D66"/>
    <w:rsid w:val="00B767A9"/>
    <w:rsid w:val="00B77250"/>
    <w:rsid w:val="00B77478"/>
    <w:rsid w:val="00B8137B"/>
    <w:rsid w:val="00B83385"/>
    <w:rsid w:val="00B83E42"/>
    <w:rsid w:val="00B84472"/>
    <w:rsid w:val="00B85478"/>
    <w:rsid w:val="00B87D18"/>
    <w:rsid w:val="00B90298"/>
    <w:rsid w:val="00B9066B"/>
    <w:rsid w:val="00B90E96"/>
    <w:rsid w:val="00B92D39"/>
    <w:rsid w:val="00B95599"/>
    <w:rsid w:val="00B95810"/>
    <w:rsid w:val="00BA0DB1"/>
    <w:rsid w:val="00BA24F0"/>
    <w:rsid w:val="00BA5180"/>
    <w:rsid w:val="00BA723B"/>
    <w:rsid w:val="00BB008D"/>
    <w:rsid w:val="00BB0233"/>
    <w:rsid w:val="00BB5148"/>
    <w:rsid w:val="00BB68AC"/>
    <w:rsid w:val="00BC083C"/>
    <w:rsid w:val="00BC0E03"/>
    <w:rsid w:val="00BC183D"/>
    <w:rsid w:val="00BC22F1"/>
    <w:rsid w:val="00BC40A0"/>
    <w:rsid w:val="00BD01FF"/>
    <w:rsid w:val="00BD48C6"/>
    <w:rsid w:val="00BD6507"/>
    <w:rsid w:val="00BD6801"/>
    <w:rsid w:val="00BD7097"/>
    <w:rsid w:val="00BE1D9A"/>
    <w:rsid w:val="00BE45EE"/>
    <w:rsid w:val="00BE54EB"/>
    <w:rsid w:val="00BF0D9C"/>
    <w:rsid w:val="00BF1091"/>
    <w:rsid w:val="00BF10F5"/>
    <w:rsid w:val="00BF14D1"/>
    <w:rsid w:val="00BF3358"/>
    <w:rsid w:val="00BF5419"/>
    <w:rsid w:val="00C0038A"/>
    <w:rsid w:val="00C01D16"/>
    <w:rsid w:val="00C02C5F"/>
    <w:rsid w:val="00C03735"/>
    <w:rsid w:val="00C04DB1"/>
    <w:rsid w:val="00C04ED9"/>
    <w:rsid w:val="00C06C61"/>
    <w:rsid w:val="00C0785C"/>
    <w:rsid w:val="00C1124F"/>
    <w:rsid w:val="00C112ED"/>
    <w:rsid w:val="00C130AF"/>
    <w:rsid w:val="00C14DDB"/>
    <w:rsid w:val="00C15DD9"/>
    <w:rsid w:val="00C176FA"/>
    <w:rsid w:val="00C20618"/>
    <w:rsid w:val="00C2325C"/>
    <w:rsid w:val="00C23A3C"/>
    <w:rsid w:val="00C26FD1"/>
    <w:rsid w:val="00C27D55"/>
    <w:rsid w:val="00C31563"/>
    <w:rsid w:val="00C31EDE"/>
    <w:rsid w:val="00C329D2"/>
    <w:rsid w:val="00C32AD1"/>
    <w:rsid w:val="00C35093"/>
    <w:rsid w:val="00C3509E"/>
    <w:rsid w:val="00C420A5"/>
    <w:rsid w:val="00C53935"/>
    <w:rsid w:val="00C53AD0"/>
    <w:rsid w:val="00C551E2"/>
    <w:rsid w:val="00C563EC"/>
    <w:rsid w:val="00C57DCD"/>
    <w:rsid w:val="00C57F61"/>
    <w:rsid w:val="00C6165D"/>
    <w:rsid w:val="00C62342"/>
    <w:rsid w:val="00C657A5"/>
    <w:rsid w:val="00C6669B"/>
    <w:rsid w:val="00C67292"/>
    <w:rsid w:val="00C6732F"/>
    <w:rsid w:val="00C74C48"/>
    <w:rsid w:val="00C75722"/>
    <w:rsid w:val="00C81F2D"/>
    <w:rsid w:val="00C84F17"/>
    <w:rsid w:val="00C85D10"/>
    <w:rsid w:val="00C86867"/>
    <w:rsid w:val="00C9008B"/>
    <w:rsid w:val="00C92985"/>
    <w:rsid w:val="00C93487"/>
    <w:rsid w:val="00C952A9"/>
    <w:rsid w:val="00C97C96"/>
    <w:rsid w:val="00CA0389"/>
    <w:rsid w:val="00CA1A0C"/>
    <w:rsid w:val="00CA1C4F"/>
    <w:rsid w:val="00CA3630"/>
    <w:rsid w:val="00CA3B7E"/>
    <w:rsid w:val="00CA52F4"/>
    <w:rsid w:val="00CA5414"/>
    <w:rsid w:val="00CA556B"/>
    <w:rsid w:val="00CA6A6C"/>
    <w:rsid w:val="00CA7B44"/>
    <w:rsid w:val="00CB2281"/>
    <w:rsid w:val="00CB5468"/>
    <w:rsid w:val="00CB5B1A"/>
    <w:rsid w:val="00CC46B9"/>
    <w:rsid w:val="00CC5DBE"/>
    <w:rsid w:val="00CC7B6D"/>
    <w:rsid w:val="00CC7D96"/>
    <w:rsid w:val="00CC7EF5"/>
    <w:rsid w:val="00CD1E59"/>
    <w:rsid w:val="00CD21CA"/>
    <w:rsid w:val="00CD2ED7"/>
    <w:rsid w:val="00CD43C1"/>
    <w:rsid w:val="00CD4C51"/>
    <w:rsid w:val="00CD77AC"/>
    <w:rsid w:val="00CE0350"/>
    <w:rsid w:val="00CE1ECE"/>
    <w:rsid w:val="00CE2427"/>
    <w:rsid w:val="00CE3D41"/>
    <w:rsid w:val="00CF0387"/>
    <w:rsid w:val="00CF0646"/>
    <w:rsid w:val="00CF1A5F"/>
    <w:rsid w:val="00D04138"/>
    <w:rsid w:val="00D04A52"/>
    <w:rsid w:val="00D0563C"/>
    <w:rsid w:val="00D0710C"/>
    <w:rsid w:val="00D123E1"/>
    <w:rsid w:val="00D12673"/>
    <w:rsid w:val="00D12D09"/>
    <w:rsid w:val="00D144B4"/>
    <w:rsid w:val="00D16A90"/>
    <w:rsid w:val="00D17911"/>
    <w:rsid w:val="00D2092B"/>
    <w:rsid w:val="00D22393"/>
    <w:rsid w:val="00D228E8"/>
    <w:rsid w:val="00D22B4F"/>
    <w:rsid w:val="00D257DC"/>
    <w:rsid w:val="00D3080F"/>
    <w:rsid w:val="00D309E4"/>
    <w:rsid w:val="00D326B0"/>
    <w:rsid w:val="00D33AFA"/>
    <w:rsid w:val="00D3413A"/>
    <w:rsid w:val="00D34C02"/>
    <w:rsid w:val="00D37D9A"/>
    <w:rsid w:val="00D41C46"/>
    <w:rsid w:val="00D43AB2"/>
    <w:rsid w:val="00D451AF"/>
    <w:rsid w:val="00D51189"/>
    <w:rsid w:val="00D55955"/>
    <w:rsid w:val="00D55AA7"/>
    <w:rsid w:val="00D57AA1"/>
    <w:rsid w:val="00D62D14"/>
    <w:rsid w:val="00D67B7F"/>
    <w:rsid w:val="00D70E98"/>
    <w:rsid w:val="00D70EEE"/>
    <w:rsid w:val="00D7221C"/>
    <w:rsid w:val="00D724A9"/>
    <w:rsid w:val="00D72BA1"/>
    <w:rsid w:val="00D72E43"/>
    <w:rsid w:val="00D730A6"/>
    <w:rsid w:val="00D769EF"/>
    <w:rsid w:val="00D84BF0"/>
    <w:rsid w:val="00D85034"/>
    <w:rsid w:val="00D85CE0"/>
    <w:rsid w:val="00D867C1"/>
    <w:rsid w:val="00D876E6"/>
    <w:rsid w:val="00D91F99"/>
    <w:rsid w:val="00D92311"/>
    <w:rsid w:val="00D9272E"/>
    <w:rsid w:val="00D95DA9"/>
    <w:rsid w:val="00D96231"/>
    <w:rsid w:val="00D973CA"/>
    <w:rsid w:val="00DA2396"/>
    <w:rsid w:val="00DA3BF5"/>
    <w:rsid w:val="00DA518C"/>
    <w:rsid w:val="00DA6831"/>
    <w:rsid w:val="00DA7C37"/>
    <w:rsid w:val="00DA7D66"/>
    <w:rsid w:val="00DB2065"/>
    <w:rsid w:val="00DB26C0"/>
    <w:rsid w:val="00DB3F9D"/>
    <w:rsid w:val="00DB43ED"/>
    <w:rsid w:val="00DB5C99"/>
    <w:rsid w:val="00DC0891"/>
    <w:rsid w:val="00DC160B"/>
    <w:rsid w:val="00DC28DA"/>
    <w:rsid w:val="00DC7B8A"/>
    <w:rsid w:val="00DD4B8F"/>
    <w:rsid w:val="00DD4C81"/>
    <w:rsid w:val="00DD52A0"/>
    <w:rsid w:val="00DD7ABF"/>
    <w:rsid w:val="00DE0879"/>
    <w:rsid w:val="00DE0DC2"/>
    <w:rsid w:val="00DE6E19"/>
    <w:rsid w:val="00DE6E5E"/>
    <w:rsid w:val="00DF0174"/>
    <w:rsid w:val="00DF03F0"/>
    <w:rsid w:val="00DF10B1"/>
    <w:rsid w:val="00DF69FE"/>
    <w:rsid w:val="00DF6BAF"/>
    <w:rsid w:val="00E030F1"/>
    <w:rsid w:val="00E032BC"/>
    <w:rsid w:val="00E03837"/>
    <w:rsid w:val="00E049FC"/>
    <w:rsid w:val="00E07550"/>
    <w:rsid w:val="00E112A9"/>
    <w:rsid w:val="00E1228F"/>
    <w:rsid w:val="00E1277D"/>
    <w:rsid w:val="00E12E14"/>
    <w:rsid w:val="00E14FDC"/>
    <w:rsid w:val="00E15297"/>
    <w:rsid w:val="00E20163"/>
    <w:rsid w:val="00E214E3"/>
    <w:rsid w:val="00E21E3E"/>
    <w:rsid w:val="00E23399"/>
    <w:rsid w:val="00E26123"/>
    <w:rsid w:val="00E27275"/>
    <w:rsid w:val="00E30AB3"/>
    <w:rsid w:val="00E31493"/>
    <w:rsid w:val="00E323A5"/>
    <w:rsid w:val="00E32A8F"/>
    <w:rsid w:val="00E35648"/>
    <w:rsid w:val="00E40A35"/>
    <w:rsid w:val="00E418F3"/>
    <w:rsid w:val="00E45485"/>
    <w:rsid w:val="00E45CCB"/>
    <w:rsid w:val="00E513A7"/>
    <w:rsid w:val="00E520D5"/>
    <w:rsid w:val="00E54B34"/>
    <w:rsid w:val="00E54E9F"/>
    <w:rsid w:val="00E60C15"/>
    <w:rsid w:val="00E617BD"/>
    <w:rsid w:val="00E666BF"/>
    <w:rsid w:val="00E71862"/>
    <w:rsid w:val="00E731B1"/>
    <w:rsid w:val="00E746AE"/>
    <w:rsid w:val="00E74E91"/>
    <w:rsid w:val="00E7544F"/>
    <w:rsid w:val="00E75B03"/>
    <w:rsid w:val="00E75EC9"/>
    <w:rsid w:val="00E77252"/>
    <w:rsid w:val="00E77C39"/>
    <w:rsid w:val="00E82518"/>
    <w:rsid w:val="00E85988"/>
    <w:rsid w:val="00E923AD"/>
    <w:rsid w:val="00E929AD"/>
    <w:rsid w:val="00E93D01"/>
    <w:rsid w:val="00E96781"/>
    <w:rsid w:val="00E96BCB"/>
    <w:rsid w:val="00E97555"/>
    <w:rsid w:val="00E97DAD"/>
    <w:rsid w:val="00EA0E4F"/>
    <w:rsid w:val="00EA15AC"/>
    <w:rsid w:val="00EA1C89"/>
    <w:rsid w:val="00EA1CBD"/>
    <w:rsid w:val="00EA5BAD"/>
    <w:rsid w:val="00EA78E4"/>
    <w:rsid w:val="00EB6641"/>
    <w:rsid w:val="00EB7EF7"/>
    <w:rsid w:val="00EC0244"/>
    <w:rsid w:val="00EC051B"/>
    <w:rsid w:val="00EC1BEF"/>
    <w:rsid w:val="00EC241A"/>
    <w:rsid w:val="00EC4AD3"/>
    <w:rsid w:val="00ED1B3E"/>
    <w:rsid w:val="00ED3F13"/>
    <w:rsid w:val="00ED4D85"/>
    <w:rsid w:val="00ED6049"/>
    <w:rsid w:val="00EE0471"/>
    <w:rsid w:val="00EE1896"/>
    <w:rsid w:val="00EE2C2B"/>
    <w:rsid w:val="00EE7E85"/>
    <w:rsid w:val="00EF1391"/>
    <w:rsid w:val="00EF2FDE"/>
    <w:rsid w:val="00EF535D"/>
    <w:rsid w:val="00EF76B9"/>
    <w:rsid w:val="00EF7D7D"/>
    <w:rsid w:val="00F04B61"/>
    <w:rsid w:val="00F0645E"/>
    <w:rsid w:val="00F06DDB"/>
    <w:rsid w:val="00F12A92"/>
    <w:rsid w:val="00F12EEB"/>
    <w:rsid w:val="00F13433"/>
    <w:rsid w:val="00F141BD"/>
    <w:rsid w:val="00F156D0"/>
    <w:rsid w:val="00F1581F"/>
    <w:rsid w:val="00F16181"/>
    <w:rsid w:val="00F162C5"/>
    <w:rsid w:val="00F242A5"/>
    <w:rsid w:val="00F27778"/>
    <w:rsid w:val="00F30342"/>
    <w:rsid w:val="00F30A4D"/>
    <w:rsid w:val="00F30E4A"/>
    <w:rsid w:val="00F3177E"/>
    <w:rsid w:val="00F33399"/>
    <w:rsid w:val="00F339D7"/>
    <w:rsid w:val="00F33EBC"/>
    <w:rsid w:val="00F3577A"/>
    <w:rsid w:val="00F36436"/>
    <w:rsid w:val="00F36A0C"/>
    <w:rsid w:val="00F37960"/>
    <w:rsid w:val="00F40BA9"/>
    <w:rsid w:val="00F4164A"/>
    <w:rsid w:val="00F4365F"/>
    <w:rsid w:val="00F4366B"/>
    <w:rsid w:val="00F4382F"/>
    <w:rsid w:val="00F43C7E"/>
    <w:rsid w:val="00F43FE7"/>
    <w:rsid w:val="00F45340"/>
    <w:rsid w:val="00F465A0"/>
    <w:rsid w:val="00F47114"/>
    <w:rsid w:val="00F52D56"/>
    <w:rsid w:val="00F52DC4"/>
    <w:rsid w:val="00F55C64"/>
    <w:rsid w:val="00F56852"/>
    <w:rsid w:val="00F56C21"/>
    <w:rsid w:val="00F56C94"/>
    <w:rsid w:val="00F573DC"/>
    <w:rsid w:val="00F61983"/>
    <w:rsid w:val="00F6198A"/>
    <w:rsid w:val="00F64F95"/>
    <w:rsid w:val="00F66677"/>
    <w:rsid w:val="00F66AD1"/>
    <w:rsid w:val="00F7025B"/>
    <w:rsid w:val="00F709C4"/>
    <w:rsid w:val="00F737BE"/>
    <w:rsid w:val="00F7384D"/>
    <w:rsid w:val="00F75B55"/>
    <w:rsid w:val="00F7717A"/>
    <w:rsid w:val="00F77C6B"/>
    <w:rsid w:val="00F82044"/>
    <w:rsid w:val="00F82366"/>
    <w:rsid w:val="00F825E7"/>
    <w:rsid w:val="00F8263A"/>
    <w:rsid w:val="00F84BCD"/>
    <w:rsid w:val="00F852C6"/>
    <w:rsid w:val="00F87C58"/>
    <w:rsid w:val="00F90004"/>
    <w:rsid w:val="00F91EEE"/>
    <w:rsid w:val="00F9305F"/>
    <w:rsid w:val="00F940D7"/>
    <w:rsid w:val="00F94BB0"/>
    <w:rsid w:val="00F95F82"/>
    <w:rsid w:val="00F97082"/>
    <w:rsid w:val="00FA16C2"/>
    <w:rsid w:val="00FA2384"/>
    <w:rsid w:val="00FB21CB"/>
    <w:rsid w:val="00FB51D4"/>
    <w:rsid w:val="00FB7C9F"/>
    <w:rsid w:val="00FC2C7D"/>
    <w:rsid w:val="00FC317C"/>
    <w:rsid w:val="00FC37DE"/>
    <w:rsid w:val="00FC40E6"/>
    <w:rsid w:val="00FC45C0"/>
    <w:rsid w:val="00FC6EC7"/>
    <w:rsid w:val="00FC6F05"/>
    <w:rsid w:val="00FD18F2"/>
    <w:rsid w:val="00FD1B07"/>
    <w:rsid w:val="00FD3259"/>
    <w:rsid w:val="00FD3493"/>
    <w:rsid w:val="00FD6F01"/>
    <w:rsid w:val="00FE1FC1"/>
    <w:rsid w:val="00FE4336"/>
    <w:rsid w:val="00FF1448"/>
    <w:rsid w:val="00FF49E4"/>
    <w:rsid w:val="00FF6E7A"/>
    <w:rsid w:val="00FF7551"/>
    <w:rsid w:val="06B18A44"/>
    <w:rsid w:val="0EA3715A"/>
    <w:rsid w:val="142B7144"/>
    <w:rsid w:val="1D66E10E"/>
    <w:rsid w:val="1FD52103"/>
    <w:rsid w:val="351617FF"/>
    <w:rsid w:val="41E9A59E"/>
    <w:rsid w:val="5675A03E"/>
    <w:rsid w:val="5C38E473"/>
    <w:rsid w:val="609464F7"/>
    <w:rsid w:val="61D5D7E7"/>
    <w:rsid w:val="6285EAC6"/>
    <w:rsid w:val="720B66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5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D55"/>
    <w:rPr>
      <w:sz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 point,Recommendation,List Paragraph1,List Paragraph11,L,CV text,Table text,F5 List Paragraph,Dot pt,Colorful List - Accent 11,No Spacing1,List Paragraph Char Char Char,Indicator Text,Numbered Para 1,Bullet 1,Bullet Points,1 heading"/>
    <w:basedOn w:val="Normal"/>
    <w:link w:val="ListParagraphChar"/>
    <w:uiPriority w:val="34"/>
    <w:qFormat/>
    <w:rsid w:val="00A4512D"/>
    <w:pPr>
      <w:ind w:left="720"/>
      <w:contextualSpacing/>
    </w:pPr>
  </w:style>
  <w:style w:type="paragraph" w:styleId="Header">
    <w:name w:val="header"/>
    <w:basedOn w:val="Normal"/>
    <w:link w:val="HeaderChar"/>
    <w:uiPriority w:val="99"/>
    <w:rsid w:val="00C27D55"/>
    <w:pPr>
      <w:tabs>
        <w:tab w:val="center" w:pos="4513"/>
        <w:tab w:val="right" w:pos="9026"/>
      </w:tabs>
    </w:pPr>
  </w:style>
  <w:style w:type="character" w:customStyle="1" w:styleId="HeaderChar">
    <w:name w:val="Header Char"/>
    <w:basedOn w:val="DefaultParagraphFont"/>
    <w:link w:val="Header"/>
    <w:uiPriority w:val="99"/>
    <w:rsid w:val="00C27D55"/>
    <w:rPr>
      <w:sz w:val="24"/>
      <w:szCs w:val="24"/>
      <w:lang w:eastAsia="en-US"/>
    </w:rPr>
  </w:style>
  <w:style w:type="paragraph" w:styleId="Footer">
    <w:name w:val="footer"/>
    <w:basedOn w:val="Normal"/>
    <w:link w:val="FooterChar"/>
    <w:rsid w:val="00C27D55"/>
    <w:pPr>
      <w:tabs>
        <w:tab w:val="center" w:pos="4513"/>
        <w:tab w:val="right" w:pos="9026"/>
      </w:tabs>
    </w:pPr>
  </w:style>
  <w:style w:type="character" w:customStyle="1" w:styleId="FooterChar">
    <w:name w:val="Footer Char"/>
    <w:basedOn w:val="DefaultParagraphFont"/>
    <w:link w:val="Footer"/>
    <w:uiPriority w:val="99"/>
    <w:rsid w:val="00C27D55"/>
    <w:rPr>
      <w:sz w:val="24"/>
      <w:szCs w:val="24"/>
      <w:lang w:eastAsia="en-US"/>
    </w:rPr>
  </w:style>
  <w:style w:type="paragraph" w:styleId="BalloonText">
    <w:name w:val="Balloon Text"/>
    <w:basedOn w:val="Normal"/>
    <w:link w:val="BalloonTextChar"/>
    <w:rsid w:val="00C27D55"/>
    <w:rPr>
      <w:rFonts w:ascii="Tahoma" w:hAnsi="Tahoma" w:cs="Tahoma"/>
      <w:sz w:val="16"/>
      <w:szCs w:val="16"/>
    </w:rPr>
  </w:style>
  <w:style w:type="character" w:customStyle="1" w:styleId="BalloonTextChar">
    <w:name w:val="Balloon Text Char"/>
    <w:basedOn w:val="DefaultParagraphFont"/>
    <w:link w:val="BalloonText"/>
    <w:rsid w:val="00C27D55"/>
    <w:rPr>
      <w:rFonts w:ascii="Tahoma" w:hAnsi="Tahoma" w:cs="Tahoma"/>
      <w:sz w:val="16"/>
      <w:szCs w:val="16"/>
      <w:lang w:eastAsia="en-US"/>
    </w:rPr>
  </w:style>
  <w:style w:type="character" w:customStyle="1" w:styleId="Heading3Char">
    <w:name w:val="Heading 3 Char"/>
    <w:basedOn w:val="DefaultParagraphFont"/>
    <w:link w:val="Heading3"/>
    <w:rsid w:val="00C27D55"/>
    <w:rPr>
      <w:rFonts w:ascii="Arial" w:hAnsi="Arial" w:cs="Arial"/>
      <w:bCs/>
      <w:sz w:val="24"/>
      <w:szCs w:val="26"/>
      <w:lang w:eastAsia="en-US"/>
    </w:rPr>
  </w:style>
  <w:style w:type="character" w:customStyle="1" w:styleId="normalchar">
    <w:name w:val="normal_char"/>
    <w:rsid w:val="00C27D55"/>
    <w:rPr>
      <w:color w:val="auto"/>
    </w:rPr>
  </w:style>
  <w:style w:type="character" w:customStyle="1" w:styleId="ListParagraphChar">
    <w:name w:val="List Paragraph Char"/>
    <w:aliases w:val="Bullet point Char,Recommendation Char,List Paragraph1 Char,List Paragraph11 Char,L Char,CV text Char,Table text Char,F5 List Paragraph Char,Dot pt Char,Colorful List - Accent 11 Char,No Spacing1 Char,Indicator Text Char,Bullet 1 Char"/>
    <w:link w:val="ListParagraph"/>
    <w:qFormat/>
    <w:locked/>
    <w:rsid w:val="00653024"/>
    <w:rPr>
      <w:sz w:val="24"/>
    </w:rPr>
  </w:style>
  <w:style w:type="paragraph" w:customStyle="1" w:styleId="Table1">
    <w:name w:val="Table 1"/>
    <w:basedOn w:val="Normal"/>
    <w:qFormat/>
    <w:rsid w:val="004160B4"/>
    <w:pPr>
      <w:keepNext/>
      <w:keepLines/>
      <w:spacing w:before="60" w:after="60" w:line="276" w:lineRule="auto"/>
      <w:ind w:left="56"/>
      <w:contextualSpacing/>
      <w:outlineLvl w:val="2"/>
    </w:pPr>
    <w:rPr>
      <w:rFonts w:eastAsiaTheme="minorEastAsia" w:cstheme="minorBidi"/>
      <w:sz w:val="22"/>
      <w:szCs w:val="22"/>
      <w:lang w:eastAsia="en-US"/>
    </w:rPr>
  </w:style>
  <w:style w:type="paragraph" w:customStyle="1" w:styleId="Bullet">
    <w:name w:val="Bullet"/>
    <w:basedOn w:val="Normal"/>
    <w:link w:val="BulletChar"/>
    <w:qFormat/>
    <w:rsid w:val="004160B4"/>
    <w:pPr>
      <w:keepNext/>
      <w:keepLines/>
      <w:numPr>
        <w:numId w:val="20"/>
      </w:numPr>
      <w:spacing w:before="60" w:after="60" w:line="300" w:lineRule="auto"/>
      <w:ind w:left="567"/>
      <w:outlineLvl w:val="2"/>
    </w:pPr>
    <w:rPr>
      <w:rFonts w:eastAsiaTheme="minorEastAsia" w:cstheme="minorBidi"/>
      <w:szCs w:val="24"/>
      <w:lang w:eastAsia="en-US"/>
    </w:rPr>
  </w:style>
  <w:style w:type="paragraph" w:customStyle="1" w:styleId="Table2">
    <w:name w:val="Table 2"/>
    <w:basedOn w:val="Normal"/>
    <w:link w:val="Table2Char"/>
    <w:uiPriority w:val="1"/>
    <w:qFormat/>
    <w:rsid w:val="004160B4"/>
    <w:pPr>
      <w:keepNext/>
      <w:keepLines/>
      <w:tabs>
        <w:tab w:val="left" w:pos="284"/>
      </w:tabs>
      <w:contextualSpacing/>
      <w:jc w:val="right"/>
      <w:outlineLvl w:val="2"/>
    </w:pPr>
    <w:rPr>
      <w:rFonts w:eastAsia="Calibri"/>
      <w:sz w:val="22"/>
      <w:szCs w:val="22"/>
      <w:lang w:eastAsia="en-US"/>
    </w:rPr>
  </w:style>
  <w:style w:type="character" w:customStyle="1" w:styleId="Table2Char">
    <w:name w:val="Table 2 Char"/>
    <w:basedOn w:val="DefaultParagraphFont"/>
    <w:link w:val="Table2"/>
    <w:uiPriority w:val="1"/>
    <w:rsid w:val="004160B4"/>
    <w:rPr>
      <w:rFonts w:eastAsia="Calibri"/>
      <w:sz w:val="22"/>
      <w:szCs w:val="22"/>
      <w:lang w:eastAsia="en-US"/>
    </w:rPr>
  </w:style>
  <w:style w:type="paragraph" w:customStyle="1" w:styleId="Table3">
    <w:name w:val="Table 3"/>
    <w:basedOn w:val="Table2"/>
    <w:unhideWhenUsed/>
    <w:qFormat/>
    <w:rsid w:val="004160B4"/>
    <w:rPr>
      <w:b/>
    </w:rPr>
  </w:style>
  <w:style w:type="paragraph" w:customStyle="1" w:styleId="Table1Bold">
    <w:name w:val="Table 1 Bold"/>
    <w:basedOn w:val="Table1"/>
    <w:unhideWhenUsed/>
    <w:qFormat/>
    <w:rsid w:val="004160B4"/>
    <w:rPr>
      <w:b/>
    </w:rPr>
  </w:style>
  <w:style w:type="paragraph" w:customStyle="1" w:styleId="Table2Bold">
    <w:name w:val="Table 2 Bold"/>
    <w:basedOn w:val="Table2"/>
    <w:unhideWhenUsed/>
    <w:qFormat/>
    <w:rsid w:val="004160B4"/>
    <w:rPr>
      <w:b/>
    </w:rPr>
  </w:style>
  <w:style w:type="character" w:styleId="CommentReference">
    <w:name w:val="annotation reference"/>
    <w:basedOn w:val="DefaultParagraphFont"/>
    <w:unhideWhenUsed/>
    <w:rsid w:val="004160B4"/>
    <w:rPr>
      <w:sz w:val="16"/>
      <w:szCs w:val="16"/>
    </w:rPr>
  </w:style>
  <w:style w:type="character" w:customStyle="1" w:styleId="BulletChar">
    <w:name w:val="Bullet Char"/>
    <w:basedOn w:val="DefaultParagraphFont"/>
    <w:link w:val="Bullet"/>
    <w:rsid w:val="004160B4"/>
    <w:rPr>
      <w:rFonts w:eastAsiaTheme="minorEastAsia" w:cstheme="minorBidi"/>
      <w:sz w:val="24"/>
      <w:szCs w:val="24"/>
      <w:lang w:eastAsia="en-US"/>
    </w:rPr>
  </w:style>
  <w:style w:type="character" w:styleId="Hyperlink">
    <w:name w:val="Hyperlink"/>
    <w:rsid w:val="00F90004"/>
    <w:rPr>
      <w:color w:val="0000FF"/>
      <w:u w:val="single"/>
    </w:rPr>
  </w:style>
  <w:style w:type="paragraph" w:styleId="FootnoteText">
    <w:name w:val="footnote text"/>
    <w:basedOn w:val="Normal"/>
    <w:link w:val="FootnoteTextChar"/>
    <w:uiPriority w:val="99"/>
    <w:rsid w:val="00B90E96"/>
    <w:rPr>
      <w:sz w:val="20"/>
    </w:rPr>
  </w:style>
  <w:style w:type="character" w:customStyle="1" w:styleId="FootnoteTextChar">
    <w:name w:val="Footnote Text Char"/>
    <w:basedOn w:val="DefaultParagraphFont"/>
    <w:link w:val="FootnoteText"/>
    <w:uiPriority w:val="99"/>
    <w:rsid w:val="00B90E96"/>
  </w:style>
  <w:style w:type="character" w:styleId="FootnoteReference">
    <w:name w:val="footnote reference"/>
    <w:basedOn w:val="DefaultParagraphFont"/>
    <w:uiPriority w:val="99"/>
    <w:rsid w:val="00B90E96"/>
    <w:rPr>
      <w:vertAlign w:val="superscript"/>
    </w:rPr>
  </w:style>
  <w:style w:type="table" w:styleId="TableGrid">
    <w:name w:val="Table Grid"/>
    <w:basedOn w:val="TableNormal"/>
    <w:uiPriority w:val="59"/>
    <w:rsid w:val="001F6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EA0E4F"/>
    <w:rPr>
      <w:sz w:val="20"/>
    </w:rPr>
  </w:style>
  <w:style w:type="character" w:customStyle="1" w:styleId="EndnoteTextChar">
    <w:name w:val="Endnote Text Char"/>
    <w:basedOn w:val="DefaultParagraphFont"/>
    <w:link w:val="EndnoteText"/>
    <w:rsid w:val="00EA0E4F"/>
  </w:style>
  <w:style w:type="character" w:styleId="EndnoteReference">
    <w:name w:val="endnote reference"/>
    <w:basedOn w:val="DefaultParagraphFont"/>
    <w:rsid w:val="00EA0E4F"/>
    <w:rPr>
      <w:vertAlign w:val="superscript"/>
    </w:rPr>
  </w:style>
  <w:style w:type="paragraph" w:styleId="CommentText">
    <w:name w:val="annotation text"/>
    <w:basedOn w:val="Normal"/>
    <w:link w:val="CommentTextChar"/>
    <w:rsid w:val="000C51F6"/>
    <w:rPr>
      <w:sz w:val="20"/>
    </w:rPr>
  </w:style>
  <w:style w:type="character" w:customStyle="1" w:styleId="CommentTextChar">
    <w:name w:val="Comment Text Char"/>
    <w:basedOn w:val="DefaultParagraphFont"/>
    <w:link w:val="CommentText"/>
    <w:rsid w:val="000C51F6"/>
  </w:style>
  <w:style w:type="paragraph" w:styleId="CommentSubject">
    <w:name w:val="annotation subject"/>
    <w:basedOn w:val="CommentText"/>
    <w:next w:val="CommentText"/>
    <w:link w:val="CommentSubjectChar"/>
    <w:rsid w:val="000C51F6"/>
    <w:rPr>
      <w:b/>
      <w:bCs/>
    </w:rPr>
  </w:style>
  <w:style w:type="character" w:customStyle="1" w:styleId="CommentSubjectChar">
    <w:name w:val="Comment Subject Char"/>
    <w:basedOn w:val="CommentTextChar"/>
    <w:link w:val="CommentSubject"/>
    <w:rsid w:val="000C51F6"/>
    <w:rPr>
      <w:b/>
      <w:bCs/>
    </w:rPr>
  </w:style>
  <w:style w:type="paragraph" w:styleId="ListBullet">
    <w:name w:val="List Bullet"/>
    <w:uiPriority w:val="1"/>
    <w:unhideWhenUsed/>
    <w:qFormat/>
    <w:rsid w:val="00F709C4"/>
    <w:pPr>
      <w:numPr>
        <w:numId w:val="1"/>
      </w:numPr>
      <w:spacing w:before="120" w:after="120"/>
      <w:contextualSpacing/>
    </w:pPr>
    <w:rPr>
      <w:rFonts w:asciiTheme="majorHAnsi" w:eastAsiaTheme="minorHAnsi" w:hAnsiTheme="majorHAnsi" w:cstheme="minorBidi"/>
      <w:color w:val="595959" w:themeColor="text1" w:themeTint="A6"/>
      <w:kern w:val="20"/>
      <w:sz w:val="22"/>
      <w:szCs w:val="22"/>
      <w:lang w:val="en-US" w:eastAsia="ja-JP"/>
    </w:rPr>
  </w:style>
  <w:style w:type="character" w:styleId="FollowedHyperlink">
    <w:name w:val="FollowedHyperlink"/>
    <w:basedOn w:val="DefaultParagraphFont"/>
    <w:rsid w:val="0036185A"/>
    <w:rPr>
      <w:color w:val="800080" w:themeColor="followedHyperlink"/>
      <w:u w:val="single"/>
    </w:rPr>
  </w:style>
  <w:style w:type="paragraph" w:customStyle="1" w:styleId="Default">
    <w:name w:val="Default"/>
    <w:basedOn w:val="Normal"/>
    <w:rsid w:val="0092521A"/>
    <w:pPr>
      <w:autoSpaceDE w:val="0"/>
      <w:autoSpaceDN w:val="0"/>
    </w:pPr>
    <w:rPr>
      <w:rFonts w:ascii="Arial" w:eastAsiaTheme="minorHAnsi" w:hAnsi="Arial" w:cs="Arial"/>
      <w:color w:val="000000"/>
      <w:szCs w:val="24"/>
    </w:rPr>
  </w:style>
  <w:style w:type="paragraph" w:styleId="NormalWeb">
    <w:name w:val="Normal (Web)"/>
    <w:basedOn w:val="Normal"/>
    <w:uiPriority w:val="99"/>
    <w:unhideWhenUsed/>
    <w:rsid w:val="007C0555"/>
    <w:pPr>
      <w:spacing w:before="100" w:beforeAutospacing="1" w:after="100" w:afterAutospacing="1"/>
    </w:pPr>
    <w:rPr>
      <w:szCs w:val="24"/>
    </w:rPr>
  </w:style>
  <w:style w:type="paragraph" w:styleId="Revision">
    <w:name w:val="Revision"/>
    <w:hidden/>
    <w:uiPriority w:val="99"/>
    <w:semiHidden/>
    <w:rsid w:val="00A44381"/>
    <w:rPr>
      <w:sz w:val="24"/>
    </w:rPr>
  </w:style>
  <w:style w:type="paragraph" w:styleId="BodyTextIndent3">
    <w:name w:val="Body Text Indent 3"/>
    <w:basedOn w:val="Normal"/>
    <w:link w:val="BodyTextIndent3Char"/>
    <w:rsid w:val="00617CAE"/>
    <w:pPr>
      <w:spacing w:after="120"/>
      <w:ind w:left="283"/>
    </w:pPr>
    <w:rPr>
      <w:sz w:val="16"/>
      <w:szCs w:val="16"/>
      <w:lang w:eastAsia="en-US"/>
    </w:rPr>
  </w:style>
  <w:style w:type="character" w:customStyle="1" w:styleId="BodyTextIndent3Char">
    <w:name w:val="Body Text Indent 3 Char"/>
    <w:basedOn w:val="DefaultParagraphFont"/>
    <w:link w:val="BodyTextIndent3"/>
    <w:rsid w:val="00617CAE"/>
    <w:rPr>
      <w:sz w:val="16"/>
      <w:szCs w:val="16"/>
      <w:lang w:eastAsia="en-US"/>
    </w:rPr>
  </w:style>
  <w:style w:type="paragraph" w:customStyle="1" w:styleId="PBACheading1">
    <w:name w:val="PBAC heading 1"/>
    <w:qFormat/>
    <w:rsid w:val="008D335D"/>
    <w:pPr>
      <w:ind w:left="720" w:hanging="720"/>
      <w:outlineLvl w:val="0"/>
    </w:pPr>
    <w:rPr>
      <w:rFonts w:ascii="Arial" w:hAnsi="Arial" w:cs="Arial"/>
      <w:b/>
      <w:snapToGrid w:val="0"/>
      <w:sz w:val="22"/>
      <w:szCs w:val="22"/>
      <w:lang w:eastAsia="en-US"/>
    </w:rPr>
  </w:style>
  <w:style w:type="character" w:styleId="PlaceholderText">
    <w:name w:val="Placeholder Text"/>
    <w:basedOn w:val="DefaultParagraphFont"/>
    <w:uiPriority w:val="99"/>
    <w:semiHidden/>
    <w:rsid w:val="004F6579"/>
    <w:rPr>
      <w:color w:val="808080"/>
    </w:rPr>
  </w:style>
  <w:style w:type="paragraph" w:customStyle="1" w:styleId="Paragraphtext">
    <w:name w:val="Paragraph text"/>
    <w:basedOn w:val="Normal"/>
    <w:qFormat/>
    <w:rsid w:val="00762A4F"/>
    <w:pPr>
      <w:spacing w:before="120" w:after="60"/>
    </w:pPr>
    <w:rPr>
      <w:rFonts w:ascii="Arial" w:hAnsi="Arial"/>
      <w:color w:val="000000" w:themeColor="text1"/>
      <w:sz w:val="21"/>
      <w:szCs w:val="24"/>
      <w:lang w:eastAsia="en-US"/>
    </w:rPr>
  </w:style>
  <w:style w:type="paragraph" w:styleId="ListBullet2">
    <w:name w:val="List Bullet 2"/>
    <w:basedOn w:val="Normal"/>
    <w:semiHidden/>
    <w:unhideWhenUsed/>
    <w:rsid w:val="00762A4F"/>
    <w:pPr>
      <w:numPr>
        <w:numId w:val="4"/>
      </w:numPr>
      <w:tabs>
        <w:tab w:val="clear" w:pos="643"/>
      </w:tabs>
      <w:ind w:left="360"/>
      <w:contextualSpacing/>
    </w:pPr>
  </w:style>
  <w:style w:type="character" w:styleId="UnresolvedMention">
    <w:name w:val="Unresolved Mention"/>
    <w:basedOn w:val="DefaultParagraphFont"/>
    <w:uiPriority w:val="99"/>
    <w:semiHidden/>
    <w:unhideWhenUsed/>
    <w:rsid w:val="00F940D7"/>
    <w:rPr>
      <w:color w:val="605E5C"/>
      <w:shd w:val="clear" w:color="auto" w:fill="E1DFDD"/>
    </w:rPr>
  </w:style>
  <w:style w:type="paragraph" w:customStyle="1" w:styleId="xmsonormal">
    <w:name w:val="x_msonormal"/>
    <w:basedOn w:val="Normal"/>
    <w:rsid w:val="004E3288"/>
    <w:rPr>
      <w:rFonts w:ascii="Calibri" w:eastAsiaTheme="minorHAnsi" w:hAnsi="Calibri" w:cs="Calibri"/>
      <w:sz w:val="20"/>
    </w:rPr>
  </w:style>
  <w:style w:type="paragraph" w:customStyle="1" w:styleId="2Sections">
    <w:name w:val="2. Sections"/>
    <w:qFormat/>
    <w:rsid w:val="004E3288"/>
    <w:pPr>
      <w:numPr>
        <w:numId w:val="39"/>
      </w:numPr>
      <w:spacing w:before="240" w:after="1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4E3288"/>
    <w:pPr>
      <w:numPr>
        <w:ilvl w:val="1"/>
        <w:numId w:val="39"/>
      </w:numPr>
      <w:spacing w:after="120"/>
      <w:contextualSpacing w:val="0"/>
      <w:jc w:val="both"/>
    </w:pPr>
    <w:rPr>
      <w:rFonts w:asciiTheme="minorHAnsi" w:eastAsiaTheme="minorHAnsi" w:hAnsiTheme="minorHAnsi" w:cstheme="minorBidi"/>
      <w:szCs w:val="22"/>
      <w:lang w:eastAsia="en-US"/>
    </w:rPr>
  </w:style>
  <w:style w:type="paragraph" w:customStyle="1" w:styleId="3Bodytext">
    <w:name w:val="3. Body text"/>
    <w:basedOn w:val="ListParagraph"/>
    <w:link w:val="3BodytextChar"/>
    <w:qFormat/>
    <w:rsid w:val="00E323A5"/>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E323A5"/>
    <w:rPr>
      <w:rFonts w:asciiTheme="minorHAnsi" w:eastAsiaTheme="minorHAnsi" w:hAnsiTheme="minorHAnsi" w:cstheme="minorBidi"/>
      <w:sz w:val="24"/>
      <w:szCs w:val="22"/>
      <w:lang w:eastAsia="en-US"/>
    </w:rPr>
  </w:style>
  <w:style w:type="paragraph" w:customStyle="1" w:styleId="2-SectionHeading">
    <w:name w:val="2-Section Heading"/>
    <w:next w:val="3-BodyText"/>
    <w:qFormat/>
    <w:rsid w:val="002A6C1C"/>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2A6C1C"/>
    <w:pPr>
      <w:spacing w:before="120"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2A6C1C"/>
    <w:rPr>
      <w:rFonts w:asciiTheme="minorHAnsi" w:eastAsiaTheme="minorHAnsi" w:hAnsiTheme="minorHAnsi" w:cstheme="minorBidi"/>
      <w:sz w:val="24"/>
      <w:szCs w:val="22"/>
    </w:rPr>
  </w:style>
  <w:style w:type="character" w:customStyle="1" w:styleId="ui-provider">
    <w:name w:val="ui-provider"/>
    <w:basedOn w:val="DefaultParagraphFont"/>
    <w:rsid w:val="00EE7E85"/>
  </w:style>
  <w:style w:type="character" w:styleId="Mention">
    <w:name w:val="Mention"/>
    <w:basedOn w:val="DefaultParagraphFont"/>
    <w:uiPriority w:val="99"/>
    <w:unhideWhenUsed/>
    <w:rsid w:val="00AB71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653">
      <w:bodyDiv w:val="1"/>
      <w:marLeft w:val="0"/>
      <w:marRight w:val="0"/>
      <w:marTop w:val="0"/>
      <w:marBottom w:val="0"/>
      <w:divBdr>
        <w:top w:val="none" w:sz="0" w:space="0" w:color="auto"/>
        <w:left w:val="none" w:sz="0" w:space="0" w:color="auto"/>
        <w:bottom w:val="none" w:sz="0" w:space="0" w:color="auto"/>
        <w:right w:val="none" w:sz="0" w:space="0" w:color="auto"/>
      </w:divBdr>
    </w:div>
    <w:div w:id="32197015">
      <w:bodyDiv w:val="1"/>
      <w:marLeft w:val="0"/>
      <w:marRight w:val="0"/>
      <w:marTop w:val="0"/>
      <w:marBottom w:val="0"/>
      <w:divBdr>
        <w:top w:val="none" w:sz="0" w:space="0" w:color="auto"/>
        <w:left w:val="none" w:sz="0" w:space="0" w:color="auto"/>
        <w:bottom w:val="none" w:sz="0" w:space="0" w:color="auto"/>
        <w:right w:val="none" w:sz="0" w:space="0" w:color="auto"/>
      </w:divBdr>
    </w:div>
    <w:div w:id="149446891">
      <w:bodyDiv w:val="1"/>
      <w:marLeft w:val="0"/>
      <w:marRight w:val="0"/>
      <w:marTop w:val="0"/>
      <w:marBottom w:val="0"/>
      <w:divBdr>
        <w:top w:val="none" w:sz="0" w:space="0" w:color="auto"/>
        <w:left w:val="none" w:sz="0" w:space="0" w:color="auto"/>
        <w:bottom w:val="none" w:sz="0" w:space="0" w:color="auto"/>
        <w:right w:val="none" w:sz="0" w:space="0" w:color="auto"/>
      </w:divBdr>
    </w:div>
    <w:div w:id="151221416">
      <w:bodyDiv w:val="1"/>
      <w:marLeft w:val="0"/>
      <w:marRight w:val="0"/>
      <w:marTop w:val="0"/>
      <w:marBottom w:val="0"/>
      <w:divBdr>
        <w:top w:val="none" w:sz="0" w:space="0" w:color="auto"/>
        <w:left w:val="none" w:sz="0" w:space="0" w:color="auto"/>
        <w:bottom w:val="none" w:sz="0" w:space="0" w:color="auto"/>
        <w:right w:val="none" w:sz="0" w:space="0" w:color="auto"/>
      </w:divBdr>
    </w:div>
    <w:div w:id="179322785">
      <w:bodyDiv w:val="1"/>
      <w:marLeft w:val="0"/>
      <w:marRight w:val="0"/>
      <w:marTop w:val="0"/>
      <w:marBottom w:val="0"/>
      <w:divBdr>
        <w:top w:val="none" w:sz="0" w:space="0" w:color="auto"/>
        <w:left w:val="none" w:sz="0" w:space="0" w:color="auto"/>
        <w:bottom w:val="none" w:sz="0" w:space="0" w:color="auto"/>
        <w:right w:val="none" w:sz="0" w:space="0" w:color="auto"/>
      </w:divBdr>
    </w:div>
    <w:div w:id="202522308">
      <w:bodyDiv w:val="1"/>
      <w:marLeft w:val="0"/>
      <w:marRight w:val="0"/>
      <w:marTop w:val="0"/>
      <w:marBottom w:val="0"/>
      <w:divBdr>
        <w:top w:val="none" w:sz="0" w:space="0" w:color="auto"/>
        <w:left w:val="none" w:sz="0" w:space="0" w:color="auto"/>
        <w:bottom w:val="none" w:sz="0" w:space="0" w:color="auto"/>
        <w:right w:val="none" w:sz="0" w:space="0" w:color="auto"/>
      </w:divBdr>
    </w:div>
    <w:div w:id="240141902">
      <w:bodyDiv w:val="1"/>
      <w:marLeft w:val="0"/>
      <w:marRight w:val="0"/>
      <w:marTop w:val="0"/>
      <w:marBottom w:val="0"/>
      <w:divBdr>
        <w:top w:val="none" w:sz="0" w:space="0" w:color="auto"/>
        <w:left w:val="none" w:sz="0" w:space="0" w:color="auto"/>
        <w:bottom w:val="none" w:sz="0" w:space="0" w:color="auto"/>
        <w:right w:val="none" w:sz="0" w:space="0" w:color="auto"/>
      </w:divBdr>
    </w:div>
    <w:div w:id="259143591">
      <w:bodyDiv w:val="1"/>
      <w:marLeft w:val="0"/>
      <w:marRight w:val="0"/>
      <w:marTop w:val="0"/>
      <w:marBottom w:val="0"/>
      <w:divBdr>
        <w:top w:val="none" w:sz="0" w:space="0" w:color="auto"/>
        <w:left w:val="none" w:sz="0" w:space="0" w:color="auto"/>
        <w:bottom w:val="none" w:sz="0" w:space="0" w:color="auto"/>
        <w:right w:val="none" w:sz="0" w:space="0" w:color="auto"/>
      </w:divBdr>
      <w:divsChild>
        <w:div w:id="261111659">
          <w:marLeft w:val="0"/>
          <w:marRight w:val="0"/>
          <w:marTop w:val="0"/>
          <w:marBottom w:val="0"/>
          <w:divBdr>
            <w:top w:val="none" w:sz="0" w:space="0" w:color="auto"/>
            <w:left w:val="none" w:sz="0" w:space="0" w:color="auto"/>
            <w:bottom w:val="none" w:sz="0" w:space="0" w:color="auto"/>
            <w:right w:val="none" w:sz="0" w:space="0" w:color="auto"/>
          </w:divBdr>
          <w:divsChild>
            <w:div w:id="370153891">
              <w:marLeft w:val="0"/>
              <w:marRight w:val="0"/>
              <w:marTop w:val="0"/>
              <w:marBottom w:val="0"/>
              <w:divBdr>
                <w:top w:val="none" w:sz="0" w:space="0" w:color="auto"/>
                <w:left w:val="none" w:sz="0" w:space="0" w:color="auto"/>
                <w:bottom w:val="none" w:sz="0" w:space="0" w:color="auto"/>
                <w:right w:val="none" w:sz="0" w:space="0" w:color="auto"/>
              </w:divBdr>
              <w:divsChild>
                <w:div w:id="45033021">
                  <w:marLeft w:val="0"/>
                  <w:marRight w:val="0"/>
                  <w:marTop w:val="0"/>
                  <w:marBottom w:val="0"/>
                  <w:divBdr>
                    <w:top w:val="none" w:sz="0" w:space="0" w:color="auto"/>
                    <w:left w:val="none" w:sz="0" w:space="0" w:color="auto"/>
                    <w:bottom w:val="none" w:sz="0" w:space="0" w:color="auto"/>
                    <w:right w:val="none" w:sz="0" w:space="0" w:color="auto"/>
                  </w:divBdr>
                  <w:divsChild>
                    <w:div w:id="234708124">
                      <w:marLeft w:val="0"/>
                      <w:marRight w:val="0"/>
                      <w:marTop w:val="0"/>
                      <w:marBottom w:val="0"/>
                      <w:divBdr>
                        <w:top w:val="none" w:sz="0" w:space="0" w:color="auto"/>
                        <w:left w:val="none" w:sz="0" w:space="0" w:color="auto"/>
                        <w:bottom w:val="none" w:sz="0" w:space="0" w:color="auto"/>
                        <w:right w:val="none" w:sz="0" w:space="0" w:color="auto"/>
                      </w:divBdr>
                      <w:divsChild>
                        <w:div w:id="1049498929">
                          <w:marLeft w:val="0"/>
                          <w:marRight w:val="0"/>
                          <w:marTop w:val="0"/>
                          <w:marBottom w:val="0"/>
                          <w:divBdr>
                            <w:top w:val="none" w:sz="0" w:space="0" w:color="auto"/>
                            <w:left w:val="none" w:sz="0" w:space="0" w:color="auto"/>
                            <w:bottom w:val="none" w:sz="0" w:space="0" w:color="auto"/>
                            <w:right w:val="none" w:sz="0" w:space="0" w:color="auto"/>
                          </w:divBdr>
                          <w:divsChild>
                            <w:div w:id="2070228973">
                              <w:marLeft w:val="0"/>
                              <w:marRight w:val="0"/>
                              <w:marTop w:val="0"/>
                              <w:marBottom w:val="0"/>
                              <w:divBdr>
                                <w:top w:val="none" w:sz="0" w:space="0" w:color="auto"/>
                                <w:left w:val="none" w:sz="0" w:space="0" w:color="auto"/>
                                <w:bottom w:val="none" w:sz="0" w:space="0" w:color="auto"/>
                                <w:right w:val="none" w:sz="0" w:space="0" w:color="auto"/>
                              </w:divBdr>
                              <w:divsChild>
                                <w:div w:id="1846899183">
                                  <w:marLeft w:val="0"/>
                                  <w:marRight w:val="0"/>
                                  <w:marTop w:val="0"/>
                                  <w:marBottom w:val="0"/>
                                  <w:divBdr>
                                    <w:top w:val="none" w:sz="0" w:space="0" w:color="auto"/>
                                    <w:left w:val="none" w:sz="0" w:space="0" w:color="auto"/>
                                    <w:bottom w:val="none" w:sz="0" w:space="0" w:color="auto"/>
                                    <w:right w:val="none" w:sz="0" w:space="0" w:color="auto"/>
                                  </w:divBdr>
                                  <w:divsChild>
                                    <w:div w:id="765733053">
                                      <w:marLeft w:val="0"/>
                                      <w:marRight w:val="0"/>
                                      <w:marTop w:val="0"/>
                                      <w:marBottom w:val="0"/>
                                      <w:divBdr>
                                        <w:top w:val="none" w:sz="0" w:space="0" w:color="auto"/>
                                        <w:left w:val="none" w:sz="0" w:space="0" w:color="auto"/>
                                        <w:bottom w:val="none" w:sz="0" w:space="0" w:color="auto"/>
                                        <w:right w:val="none" w:sz="0" w:space="0" w:color="auto"/>
                                      </w:divBdr>
                                      <w:divsChild>
                                        <w:div w:id="1556503349">
                                          <w:marLeft w:val="0"/>
                                          <w:marRight w:val="0"/>
                                          <w:marTop w:val="0"/>
                                          <w:marBottom w:val="0"/>
                                          <w:divBdr>
                                            <w:top w:val="none" w:sz="0" w:space="0" w:color="auto"/>
                                            <w:left w:val="none" w:sz="0" w:space="0" w:color="auto"/>
                                            <w:bottom w:val="none" w:sz="0" w:space="0" w:color="auto"/>
                                            <w:right w:val="none" w:sz="0" w:space="0" w:color="auto"/>
                                          </w:divBdr>
                                          <w:divsChild>
                                            <w:div w:id="2045591302">
                                              <w:marLeft w:val="0"/>
                                              <w:marRight w:val="0"/>
                                              <w:marTop w:val="0"/>
                                              <w:marBottom w:val="0"/>
                                              <w:divBdr>
                                                <w:top w:val="none" w:sz="0" w:space="0" w:color="auto"/>
                                                <w:left w:val="none" w:sz="0" w:space="0" w:color="auto"/>
                                                <w:bottom w:val="none" w:sz="0" w:space="0" w:color="auto"/>
                                                <w:right w:val="none" w:sz="0" w:space="0" w:color="auto"/>
                                              </w:divBdr>
                                              <w:divsChild>
                                                <w:div w:id="1490557153">
                                                  <w:marLeft w:val="0"/>
                                                  <w:marRight w:val="0"/>
                                                  <w:marTop w:val="0"/>
                                                  <w:marBottom w:val="0"/>
                                                  <w:divBdr>
                                                    <w:top w:val="none" w:sz="0" w:space="0" w:color="auto"/>
                                                    <w:left w:val="none" w:sz="0" w:space="0" w:color="auto"/>
                                                    <w:bottom w:val="none" w:sz="0" w:space="0" w:color="auto"/>
                                                    <w:right w:val="none" w:sz="0" w:space="0" w:color="auto"/>
                                                  </w:divBdr>
                                                  <w:divsChild>
                                                    <w:div w:id="1706516496">
                                                      <w:marLeft w:val="0"/>
                                                      <w:marRight w:val="0"/>
                                                      <w:marTop w:val="0"/>
                                                      <w:marBottom w:val="0"/>
                                                      <w:divBdr>
                                                        <w:top w:val="none" w:sz="0" w:space="0" w:color="auto"/>
                                                        <w:left w:val="none" w:sz="0" w:space="0" w:color="auto"/>
                                                        <w:bottom w:val="none" w:sz="0" w:space="0" w:color="auto"/>
                                                        <w:right w:val="none" w:sz="0" w:space="0" w:color="auto"/>
                                                      </w:divBdr>
                                                      <w:divsChild>
                                                        <w:div w:id="1836651657">
                                                          <w:marLeft w:val="0"/>
                                                          <w:marRight w:val="0"/>
                                                          <w:marTop w:val="0"/>
                                                          <w:marBottom w:val="0"/>
                                                          <w:divBdr>
                                                            <w:top w:val="none" w:sz="0" w:space="0" w:color="auto"/>
                                                            <w:left w:val="none" w:sz="0" w:space="0" w:color="auto"/>
                                                            <w:bottom w:val="none" w:sz="0" w:space="0" w:color="auto"/>
                                                            <w:right w:val="none" w:sz="0" w:space="0" w:color="auto"/>
                                                          </w:divBdr>
                                                          <w:divsChild>
                                                            <w:div w:id="757288308">
                                                              <w:marLeft w:val="0"/>
                                                              <w:marRight w:val="0"/>
                                                              <w:marTop w:val="0"/>
                                                              <w:marBottom w:val="0"/>
                                                              <w:divBdr>
                                                                <w:top w:val="none" w:sz="0" w:space="0" w:color="auto"/>
                                                                <w:left w:val="none" w:sz="0" w:space="0" w:color="auto"/>
                                                                <w:bottom w:val="none" w:sz="0" w:space="0" w:color="auto"/>
                                                                <w:right w:val="none" w:sz="0" w:space="0" w:color="auto"/>
                                                              </w:divBdr>
                                                              <w:divsChild>
                                                                <w:div w:id="1905604860">
                                                                  <w:marLeft w:val="0"/>
                                                                  <w:marRight w:val="0"/>
                                                                  <w:marTop w:val="0"/>
                                                                  <w:marBottom w:val="0"/>
                                                                  <w:divBdr>
                                                                    <w:top w:val="none" w:sz="0" w:space="0" w:color="auto"/>
                                                                    <w:left w:val="none" w:sz="0" w:space="0" w:color="auto"/>
                                                                    <w:bottom w:val="none" w:sz="0" w:space="0" w:color="auto"/>
                                                                    <w:right w:val="none" w:sz="0" w:space="0" w:color="auto"/>
                                                                  </w:divBdr>
                                                                  <w:divsChild>
                                                                    <w:div w:id="7293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73247652">
      <w:bodyDiv w:val="1"/>
      <w:marLeft w:val="0"/>
      <w:marRight w:val="0"/>
      <w:marTop w:val="0"/>
      <w:marBottom w:val="0"/>
      <w:divBdr>
        <w:top w:val="none" w:sz="0" w:space="0" w:color="auto"/>
        <w:left w:val="none" w:sz="0" w:space="0" w:color="auto"/>
        <w:bottom w:val="none" w:sz="0" w:space="0" w:color="auto"/>
        <w:right w:val="none" w:sz="0" w:space="0" w:color="auto"/>
      </w:divBdr>
    </w:div>
    <w:div w:id="296490070">
      <w:bodyDiv w:val="1"/>
      <w:marLeft w:val="0"/>
      <w:marRight w:val="0"/>
      <w:marTop w:val="0"/>
      <w:marBottom w:val="0"/>
      <w:divBdr>
        <w:top w:val="none" w:sz="0" w:space="0" w:color="auto"/>
        <w:left w:val="none" w:sz="0" w:space="0" w:color="auto"/>
        <w:bottom w:val="none" w:sz="0" w:space="0" w:color="auto"/>
        <w:right w:val="none" w:sz="0" w:space="0" w:color="auto"/>
      </w:divBdr>
    </w:div>
    <w:div w:id="334577122">
      <w:bodyDiv w:val="1"/>
      <w:marLeft w:val="0"/>
      <w:marRight w:val="0"/>
      <w:marTop w:val="0"/>
      <w:marBottom w:val="0"/>
      <w:divBdr>
        <w:top w:val="none" w:sz="0" w:space="0" w:color="auto"/>
        <w:left w:val="none" w:sz="0" w:space="0" w:color="auto"/>
        <w:bottom w:val="none" w:sz="0" w:space="0" w:color="auto"/>
        <w:right w:val="none" w:sz="0" w:space="0" w:color="auto"/>
      </w:divBdr>
    </w:div>
    <w:div w:id="338657028">
      <w:bodyDiv w:val="1"/>
      <w:marLeft w:val="0"/>
      <w:marRight w:val="0"/>
      <w:marTop w:val="0"/>
      <w:marBottom w:val="0"/>
      <w:divBdr>
        <w:top w:val="none" w:sz="0" w:space="0" w:color="auto"/>
        <w:left w:val="none" w:sz="0" w:space="0" w:color="auto"/>
        <w:bottom w:val="none" w:sz="0" w:space="0" w:color="auto"/>
        <w:right w:val="none" w:sz="0" w:space="0" w:color="auto"/>
      </w:divBdr>
      <w:divsChild>
        <w:div w:id="497961493">
          <w:marLeft w:val="446"/>
          <w:marRight w:val="0"/>
          <w:marTop w:val="0"/>
          <w:marBottom w:val="0"/>
          <w:divBdr>
            <w:top w:val="none" w:sz="0" w:space="0" w:color="auto"/>
            <w:left w:val="none" w:sz="0" w:space="0" w:color="auto"/>
            <w:bottom w:val="none" w:sz="0" w:space="0" w:color="auto"/>
            <w:right w:val="none" w:sz="0" w:space="0" w:color="auto"/>
          </w:divBdr>
        </w:div>
      </w:divsChild>
    </w:div>
    <w:div w:id="405228294">
      <w:bodyDiv w:val="1"/>
      <w:marLeft w:val="0"/>
      <w:marRight w:val="0"/>
      <w:marTop w:val="0"/>
      <w:marBottom w:val="0"/>
      <w:divBdr>
        <w:top w:val="none" w:sz="0" w:space="0" w:color="auto"/>
        <w:left w:val="none" w:sz="0" w:space="0" w:color="auto"/>
        <w:bottom w:val="none" w:sz="0" w:space="0" w:color="auto"/>
        <w:right w:val="none" w:sz="0" w:space="0" w:color="auto"/>
      </w:divBdr>
    </w:div>
    <w:div w:id="469979797">
      <w:bodyDiv w:val="1"/>
      <w:marLeft w:val="0"/>
      <w:marRight w:val="0"/>
      <w:marTop w:val="0"/>
      <w:marBottom w:val="0"/>
      <w:divBdr>
        <w:top w:val="none" w:sz="0" w:space="0" w:color="auto"/>
        <w:left w:val="none" w:sz="0" w:space="0" w:color="auto"/>
        <w:bottom w:val="none" w:sz="0" w:space="0" w:color="auto"/>
        <w:right w:val="none" w:sz="0" w:space="0" w:color="auto"/>
      </w:divBdr>
    </w:div>
    <w:div w:id="590284474">
      <w:bodyDiv w:val="1"/>
      <w:marLeft w:val="0"/>
      <w:marRight w:val="0"/>
      <w:marTop w:val="0"/>
      <w:marBottom w:val="0"/>
      <w:divBdr>
        <w:top w:val="none" w:sz="0" w:space="0" w:color="auto"/>
        <w:left w:val="none" w:sz="0" w:space="0" w:color="auto"/>
        <w:bottom w:val="none" w:sz="0" w:space="0" w:color="auto"/>
        <w:right w:val="none" w:sz="0" w:space="0" w:color="auto"/>
      </w:divBdr>
    </w:div>
    <w:div w:id="598953995">
      <w:bodyDiv w:val="1"/>
      <w:marLeft w:val="0"/>
      <w:marRight w:val="0"/>
      <w:marTop w:val="0"/>
      <w:marBottom w:val="0"/>
      <w:divBdr>
        <w:top w:val="none" w:sz="0" w:space="0" w:color="auto"/>
        <w:left w:val="none" w:sz="0" w:space="0" w:color="auto"/>
        <w:bottom w:val="none" w:sz="0" w:space="0" w:color="auto"/>
        <w:right w:val="none" w:sz="0" w:space="0" w:color="auto"/>
      </w:divBdr>
    </w:div>
    <w:div w:id="613562520">
      <w:bodyDiv w:val="1"/>
      <w:marLeft w:val="0"/>
      <w:marRight w:val="0"/>
      <w:marTop w:val="0"/>
      <w:marBottom w:val="0"/>
      <w:divBdr>
        <w:top w:val="none" w:sz="0" w:space="0" w:color="auto"/>
        <w:left w:val="none" w:sz="0" w:space="0" w:color="auto"/>
        <w:bottom w:val="none" w:sz="0" w:space="0" w:color="auto"/>
        <w:right w:val="none" w:sz="0" w:space="0" w:color="auto"/>
      </w:divBdr>
    </w:div>
    <w:div w:id="644429031">
      <w:bodyDiv w:val="1"/>
      <w:marLeft w:val="0"/>
      <w:marRight w:val="0"/>
      <w:marTop w:val="0"/>
      <w:marBottom w:val="0"/>
      <w:divBdr>
        <w:top w:val="none" w:sz="0" w:space="0" w:color="auto"/>
        <w:left w:val="none" w:sz="0" w:space="0" w:color="auto"/>
        <w:bottom w:val="none" w:sz="0" w:space="0" w:color="auto"/>
        <w:right w:val="none" w:sz="0" w:space="0" w:color="auto"/>
      </w:divBdr>
    </w:div>
    <w:div w:id="701243256">
      <w:bodyDiv w:val="1"/>
      <w:marLeft w:val="0"/>
      <w:marRight w:val="0"/>
      <w:marTop w:val="0"/>
      <w:marBottom w:val="0"/>
      <w:divBdr>
        <w:top w:val="none" w:sz="0" w:space="0" w:color="auto"/>
        <w:left w:val="none" w:sz="0" w:space="0" w:color="auto"/>
        <w:bottom w:val="none" w:sz="0" w:space="0" w:color="auto"/>
        <w:right w:val="none" w:sz="0" w:space="0" w:color="auto"/>
      </w:divBdr>
    </w:div>
    <w:div w:id="745568313">
      <w:bodyDiv w:val="1"/>
      <w:marLeft w:val="0"/>
      <w:marRight w:val="0"/>
      <w:marTop w:val="0"/>
      <w:marBottom w:val="0"/>
      <w:divBdr>
        <w:top w:val="none" w:sz="0" w:space="0" w:color="auto"/>
        <w:left w:val="none" w:sz="0" w:space="0" w:color="auto"/>
        <w:bottom w:val="none" w:sz="0" w:space="0" w:color="auto"/>
        <w:right w:val="none" w:sz="0" w:space="0" w:color="auto"/>
      </w:divBdr>
    </w:div>
    <w:div w:id="814493478">
      <w:bodyDiv w:val="1"/>
      <w:marLeft w:val="0"/>
      <w:marRight w:val="0"/>
      <w:marTop w:val="0"/>
      <w:marBottom w:val="0"/>
      <w:divBdr>
        <w:top w:val="none" w:sz="0" w:space="0" w:color="auto"/>
        <w:left w:val="none" w:sz="0" w:space="0" w:color="auto"/>
        <w:bottom w:val="none" w:sz="0" w:space="0" w:color="auto"/>
        <w:right w:val="none" w:sz="0" w:space="0" w:color="auto"/>
      </w:divBdr>
      <w:divsChild>
        <w:div w:id="1342047444">
          <w:marLeft w:val="446"/>
          <w:marRight w:val="0"/>
          <w:marTop w:val="0"/>
          <w:marBottom w:val="0"/>
          <w:divBdr>
            <w:top w:val="none" w:sz="0" w:space="0" w:color="auto"/>
            <w:left w:val="none" w:sz="0" w:space="0" w:color="auto"/>
            <w:bottom w:val="none" w:sz="0" w:space="0" w:color="auto"/>
            <w:right w:val="none" w:sz="0" w:space="0" w:color="auto"/>
          </w:divBdr>
        </w:div>
      </w:divsChild>
    </w:div>
    <w:div w:id="815801368">
      <w:bodyDiv w:val="1"/>
      <w:marLeft w:val="0"/>
      <w:marRight w:val="0"/>
      <w:marTop w:val="0"/>
      <w:marBottom w:val="0"/>
      <w:divBdr>
        <w:top w:val="none" w:sz="0" w:space="0" w:color="auto"/>
        <w:left w:val="none" w:sz="0" w:space="0" w:color="auto"/>
        <w:bottom w:val="none" w:sz="0" w:space="0" w:color="auto"/>
        <w:right w:val="none" w:sz="0" w:space="0" w:color="auto"/>
      </w:divBdr>
    </w:div>
    <w:div w:id="849567317">
      <w:bodyDiv w:val="1"/>
      <w:marLeft w:val="0"/>
      <w:marRight w:val="0"/>
      <w:marTop w:val="0"/>
      <w:marBottom w:val="0"/>
      <w:divBdr>
        <w:top w:val="none" w:sz="0" w:space="0" w:color="auto"/>
        <w:left w:val="none" w:sz="0" w:space="0" w:color="auto"/>
        <w:bottom w:val="none" w:sz="0" w:space="0" w:color="auto"/>
        <w:right w:val="none" w:sz="0" w:space="0" w:color="auto"/>
      </w:divBdr>
    </w:div>
    <w:div w:id="852306389">
      <w:bodyDiv w:val="1"/>
      <w:marLeft w:val="0"/>
      <w:marRight w:val="0"/>
      <w:marTop w:val="0"/>
      <w:marBottom w:val="0"/>
      <w:divBdr>
        <w:top w:val="none" w:sz="0" w:space="0" w:color="auto"/>
        <w:left w:val="none" w:sz="0" w:space="0" w:color="auto"/>
        <w:bottom w:val="none" w:sz="0" w:space="0" w:color="auto"/>
        <w:right w:val="none" w:sz="0" w:space="0" w:color="auto"/>
      </w:divBdr>
    </w:div>
    <w:div w:id="854000559">
      <w:bodyDiv w:val="1"/>
      <w:marLeft w:val="0"/>
      <w:marRight w:val="0"/>
      <w:marTop w:val="0"/>
      <w:marBottom w:val="0"/>
      <w:divBdr>
        <w:top w:val="none" w:sz="0" w:space="0" w:color="auto"/>
        <w:left w:val="none" w:sz="0" w:space="0" w:color="auto"/>
        <w:bottom w:val="none" w:sz="0" w:space="0" w:color="auto"/>
        <w:right w:val="none" w:sz="0" w:space="0" w:color="auto"/>
      </w:divBdr>
    </w:div>
    <w:div w:id="991760090">
      <w:bodyDiv w:val="1"/>
      <w:marLeft w:val="0"/>
      <w:marRight w:val="0"/>
      <w:marTop w:val="0"/>
      <w:marBottom w:val="0"/>
      <w:divBdr>
        <w:top w:val="none" w:sz="0" w:space="0" w:color="auto"/>
        <w:left w:val="none" w:sz="0" w:space="0" w:color="auto"/>
        <w:bottom w:val="none" w:sz="0" w:space="0" w:color="auto"/>
        <w:right w:val="none" w:sz="0" w:space="0" w:color="auto"/>
      </w:divBdr>
    </w:div>
    <w:div w:id="1245650729">
      <w:bodyDiv w:val="1"/>
      <w:marLeft w:val="0"/>
      <w:marRight w:val="0"/>
      <w:marTop w:val="0"/>
      <w:marBottom w:val="0"/>
      <w:divBdr>
        <w:top w:val="none" w:sz="0" w:space="0" w:color="auto"/>
        <w:left w:val="none" w:sz="0" w:space="0" w:color="auto"/>
        <w:bottom w:val="none" w:sz="0" w:space="0" w:color="auto"/>
        <w:right w:val="none" w:sz="0" w:space="0" w:color="auto"/>
      </w:divBdr>
    </w:div>
    <w:div w:id="1261377474">
      <w:bodyDiv w:val="1"/>
      <w:marLeft w:val="0"/>
      <w:marRight w:val="0"/>
      <w:marTop w:val="0"/>
      <w:marBottom w:val="0"/>
      <w:divBdr>
        <w:top w:val="none" w:sz="0" w:space="0" w:color="auto"/>
        <w:left w:val="none" w:sz="0" w:space="0" w:color="auto"/>
        <w:bottom w:val="none" w:sz="0" w:space="0" w:color="auto"/>
        <w:right w:val="none" w:sz="0" w:space="0" w:color="auto"/>
      </w:divBdr>
    </w:div>
    <w:div w:id="1296108683">
      <w:bodyDiv w:val="1"/>
      <w:marLeft w:val="0"/>
      <w:marRight w:val="0"/>
      <w:marTop w:val="0"/>
      <w:marBottom w:val="0"/>
      <w:divBdr>
        <w:top w:val="none" w:sz="0" w:space="0" w:color="auto"/>
        <w:left w:val="none" w:sz="0" w:space="0" w:color="auto"/>
        <w:bottom w:val="none" w:sz="0" w:space="0" w:color="auto"/>
        <w:right w:val="none" w:sz="0" w:space="0" w:color="auto"/>
      </w:divBdr>
    </w:div>
    <w:div w:id="1344279939">
      <w:bodyDiv w:val="1"/>
      <w:marLeft w:val="0"/>
      <w:marRight w:val="0"/>
      <w:marTop w:val="0"/>
      <w:marBottom w:val="0"/>
      <w:divBdr>
        <w:top w:val="none" w:sz="0" w:space="0" w:color="auto"/>
        <w:left w:val="none" w:sz="0" w:space="0" w:color="auto"/>
        <w:bottom w:val="none" w:sz="0" w:space="0" w:color="auto"/>
        <w:right w:val="none" w:sz="0" w:space="0" w:color="auto"/>
      </w:divBdr>
      <w:divsChild>
        <w:div w:id="607665055">
          <w:marLeft w:val="0"/>
          <w:marRight w:val="0"/>
          <w:marTop w:val="0"/>
          <w:marBottom w:val="0"/>
          <w:divBdr>
            <w:top w:val="none" w:sz="0" w:space="0" w:color="auto"/>
            <w:left w:val="none" w:sz="0" w:space="0" w:color="auto"/>
            <w:bottom w:val="none" w:sz="0" w:space="0" w:color="auto"/>
            <w:right w:val="none" w:sz="0" w:space="0" w:color="auto"/>
          </w:divBdr>
          <w:divsChild>
            <w:div w:id="2123450848">
              <w:marLeft w:val="0"/>
              <w:marRight w:val="0"/>
              <w:marTop w:val="0"/>
              <w:marBottom w:val="0"/>
              <w:divBdr>
                <w:top w:val="none" w:sz="0" w:space="0" w:color="auto"/>
                <w:left w:val="none" w:sz="0" w:space="0" w:color="auto"/>
                <w:bottom w:val="none" w:sz="0" w:space="0" w:color="auto"/>
                <w:right w:val="none" w:sz="0" w:space="0" w:color="auto"/>
              </w:divBdr>
              <w:divsChild>
                <w:div w:id="1377242593">
                  <w:marLeft w:val="0"/>
                  <w:marRight w:val="0"/>
                  <w:marTop w:val="0"/>
                  <w:marBottom w:val="0"/>
                  <w:divBdr>
                    <w:top w:val="none" w:sz="0" w:space="0" w:color="auto"/>
                    <w:left w:val="none" w:sz="0" w:space="0" w:color="auto"/>
                    <w:bottom w:val="none" w:sz="0" w:space="0" w:color="auto"/>
                    <w:right w:val="none" w:sz="0" w:space="0" w:color="auto"/>
                  </w:divBdr>
                  <w:divsChild>
                    <w:div w:id="1141995847">
                      <w:marLeft w:val="0"/>
                      <w:marRight w:val="0"/>
                      <w:marTop w:val="0"/>
                      <w:marBottom w:val="0"/>
                      <w:divBdr>
                        <w:top w:val="none" w:sz="0" w:space="0" w:color="auto"/>
                        <w:left w:val="none" w:sz="0" w:space="0" w:color="auto"/>
                        <w:bottom w:val="none" w:sz="0" w:space="0" w:color="auto"/>
                        <w:right w:val="none" w:sz="0" w:space="0" w:color="auto"/>
                      </w:divBdr>
                      <w:divsChild>
                        <w:div w:id="909996922">
                          <w:marLeft w:val="0"/>
                          <w:marRight w:val="0"/>
                          <w:marTop w:val="0"/>
                          <w:marBottom w:val="0"/>
                          <w:divBdr>
                            <w:top w:val="none" w:sz="0" w:space="0" w:color="auto"/>
                            <w:left w:val="none" w:sz="0" w:space="0" w:color="auto"/>
                            <w:bottom w:val="none" w:sz="0" w:space="0" w:color="auto"/>
                            <w:right w:val="none" w:sz="0" w:space="0" w:color="auto"/>
                          </w:divBdr>
                          <w:divsChild>
                            <w:div w:id="121922648">
                              <w:marLeft w:val="0"/>
                              <w:marRight w:val="0"/>
                              <w:marTop w:val="0"/>
                              <w:marBottom w:val="0"/>
                              <w:divBdr>
                                <w:top w:val="none" w:sz="0" w:space="0" w:color="auto"/>
                                <w:left w:val="none" w:sz="0" w:space="0" w:color="auto"/>
                                <w:bottom w:val="none" w:sz="0" w:space="0" w:color="auto"/>
                                <w:right w:val="none" w:sz="0" w:space="0" w:color="auto"/>
                              </w:divBdr>
                              <w:divsChild>
                                <w:div w:id="137114361">
                                  <w:marLeft w:val="0"/>
                                  <w:marRight w:val="0"/>
                                  <w:marTop w:val="0"/>
                                  <w:marBottom w:val="0"/>
                                  <w:divBdr>
                                    <w:top w:val="none" w:sz="0" w:space="0" w:color="auto"/>
                                    <w:left w:val="none" w:sz="0" w:space="0" w:color="auto"/>
                                    <w:bottom w:val="none" w:sz="0" w:space="0" w:color="auto"/>
                                    <w:right w:val="none" w:sz="0" w:space="0" w:color="auto"/>
                                  </w:divBdr>
                                  <w:divsChild>
                                    <w:div w:id="523330447">
                                      <w:marLeft w:val="0"/>
                                      <w:marRight w:val="0"/>
                                      <w:marTop w:val="0"/>
                                      <w:marBottom w:val="0"/>
                                      <w:divBdr>
                                        <w:top w:val="none" w:sz="0" w:space="0" w:color="auto"/>
                                        <w:left w:val="none" w:sz="0" w:space="0" w:color="auto"/>
                                        <w:bottom w:val="none" w:sz="0" w:space="0" w:color="auto"/>
                                        <w:right w:val="none" w:sz="0" w:space="0" w:color="auto"/>
                                      </w:divBdr>
                                      <w:divsChild>
                                        <w:div w:id="166987547">
                                          <w:marLeft w:val="0"/>
                                          <w:marRight w:val="0"/>
                                          <w:marTop w:val="0"/>
                                          <w:marBottom w:val="0"/>
                                          <w:divBdr>
                                            <w:top w:val="none" w:sz="0" w:space="0" w:color="auto"/>
                                            <w:left w:val="none" w:sz="0" w:space="0" w:color="auto"/>
                                            <w:bottom w:val="none" w:sz="0" w:space="0" w:color="auto"/>
                                            <w:right w:val="none" w:sz="0" w:space="0" w:color="auto"/>
                                          </w:divBdr>
                                          <w:divsChild>
                                            <w:div w:id="1083258043">
                                              <w:marLeft w:val="0"/>
                                              <w:marRight w:val="0"/>
                                              <w:marTop w:val="0"/>
                                              <w:marBottom w:val="0"/>
                                              <w:divBdr>
                                                <w:top w:val="none" w:sz="0" w:space="0" w:color="auto"/>
                                                <w:left w:val="none" w:sz="0" w:space="0" w:color="auto"/>
                                                <w:bottom w:val="none" w:sz="0" w:space="0" w:color="auto"/>
                                                <w:right w:val="none" w:sz="0" w:space="0" w:color="auto"/>
                                              </w:divBdr>
                                              <w:divsChild>
                                                <w:div w:id="653066558">
                                                  <w:marLeft w:val="0"/>
                                                  <w:marRight w:val="0"/>
                                                  <w:marTop w:val="0"/>
                                                  <w:marBottom w:val="0"/>
                                                  <w:divBdr>
                                                    <w:top w:val="none" w:sz="0" w:space="0" w:color="auto"/>
                                                    <w:left w:val="none" w:sz="0" w:space="0" w:color="auto"/>
                                                    <w:bottom w:val="none" w:sz="0" w:space="0" w:color="auto"/>
                                                    <w:right w:val="none" w:sz="0" w:space="0" w:color="auto"/>
                                                  </w:divBdr>
                                                  <w:divsChild>
                                                    <w:div w:id="1828130888">
                                                      <w:marLeft w:val="0"/>
                                                      <w:marRight w:val="0"/>
                                                      <w:marTop w:val="0"/>
                                                      <w:marBottom w:val="0"/>
                                                      <w:divBdr>
                                                        <w:top w:val="none" w:sz="0" w:space="0" w:color="auto"/>
                                                        <w:left w:val="none" w:sz="0" w:space="0" w:color="auto"/>
                                                        <w:bottom w:val="none" w:sz="0" w:space="0" w:color="auto"/>
                                                        <w:right w:val="none" w:sz="0" w:space="0" w:color="auto"/>
                                                      </w:divBdr>
                                                      <w:divsChild>
                                                        <w:div w:id="1682009162">
                                                          <w:marLeft w:val="0"/>
                                                          <w:marRight w:val="0"/>
                                                          <w:marTop w:val="0"/>
                                                          <w:marBottom w:val="0"/>
                                                          <w:divBdr>
                                                            <w:top w:val="none" w:sz="0" w:space="0" w:color="auto"/>
                                                            <w:left w:val="none" w:sz="0" w:space="0" w:color="auto"/>
                                                            <w:bottom w:val="none" w:sz="0" w:space="0" w:color="auto"/>
                                                            <w:right w:val="none" w:sz="0" w:space="0" w:color="auto"/>
                                                          </w:divBdr>
                                                          <w:divsChild>
                                                            <w:div w:id="1372460486">
                                                              <w:marLeft w:val="0"/>
                                                              <w:marRight w:val="0"/>
                                                              <w:marTop w:val="0"/>
                                                              <w:marBottom w:val="0"/>
                                                              <w:divBdr>
                                                                <w:top w:val="none" w:sz="0" w:space="0" w:color="auto"/>
                                                                <w:left w:val="none" w:sz="0" w:space="0" w:color="auto"/>
                                                                <w:bottom w:val="none" w:sz="0" w:space="0" w:color="auto"/>
                                                                <w:right w:val="none" w:sz="0" w:space="0" w:color="auto"/>
                                                              </w:divBdr>
                                                              <w:divsChild>
                                                                <w:div w:id="653921656">
                                                                  <w:marLeft w:val="0"/>
                                                                  <w:marRight w:val="0"/>
                                                                  <w:marTop w:val="0"/>
                                                                  <w:marBottom w:val="0"/>
                                                                  <w:divBdr>
                                                                    <w:top w:val="none" w:sz="0" w:space="0" w:color="auto"/>
                                                                    <w:left w:val="none" w:sz="0" w:space="0" w:color="auto"/>
                                                                    <w:bottom w:val="none" w:sz="0" w:space="0" w:color="auto"/>
                                                                    <w:right w:val="none" w:sz="0" w:space="0" w:color="auto"/>
                                                                  </w:divBdr>
                                                                  <w:divsChild>
                                                                    <w:div w:id="16065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4385475">
      <w:bodyDiv w:val="1"/>
      <w:marLeft w:val="0"/>
      <w:marRight w:val="0"/>
      <w:marTop w:val="0"/>
      <w:marBottom w:val="0"/>
      <w:divBdr>
        <w:top w:val="none" w:sz="0" w:space="0" w:color="auto"/>
        <w:left w:val="none" w:sz="0" w:space="0" w:color="auto"/>
        <w:bottom w:val="none" w:sz="0" w:space="0" w:color="auto"/>
        <w:right w:val="none" w:sz="0" w:space="0" w:color="auto"/>
      </w:divBdr>
    </w:div>
    <w:div w:id="1394505625">
      <w:bodyDiv w:val="1"/>
      <w:marLeft w:val="0"/>
      <w:marRight w:val="0"/>
      <w:marTop w:val="0"/>
      <w:marBottom w:val="0"/>
      <w:divBdr>
        <w:top w:val="none" w:sz="0" w:space="0" w:color="auto"/>
        <w:left w:val="none" w:sz="0" w:space="0" w:color="auto"/>
        <w:bottom w:val="none" w:sz="0" w:space="0" w:color="auto"/>
        <w:right w:val="none" w:sz="0" w:space="0" w:color="auto"/>
      </w:divBdr>
    </w:div>
    <w:div w:id="1442646498">
      <w:bodyDiv w:val="1"/>
      <w:marLeft w:val="0"/>
      <w:marRight w:val="0"/>
      <w:marTop w:val="0"/>
      <w:marBottom w:val="0"/>
      <w:divBdr>
        <w:top w:val="none" w:sz="0" w:space="0" w:color="auto"/>
        <w:left w:val="none" w:sz="0" w:space="0" w:color="auto"/>
        <w:bottom w:val="none" w:sz="0" w:space="0" w:color="auto"/>
        <w:right w:val="none" w:sz="0" w:space="0" w:color="auto"/>
      </w:divBdr>
    </w:div>
    <w:div w:id="1447699248">
      <w:bodyDiv w:val="1"/>
      <w:marLeft w:val="0"/>
      <w:marRight w:val="0"/>
      <w:marTop w:val="0"/>
      <w:marBottom w:val="0"/>
      <w:divBdr>
        <w:top w:val="none" w:sz="0" w:space="0" w:color="auto"/>
        <w:left w:val="none" w:sz="0" w:space="0" w:color="auto"/>
        <w:bottom w:val="none" w:sz="0" w:space="0" w:color="auto"/>
        <w:right w:val="none" w:sz="0" w:space="0" w:color="auto"/>
      </w:divBdr>
    </w:div>
    <w:div w:id="1464619048">
      <w:bodyDiv w:val="1"/>
      <w:marLeft w:val="0"/>
      <w:marRight w:val="0"/>
      <w:marTop w:val="0"/>
      <w:marBottom w:val="0"/>
      <w:divBdr>
        <w:top w:val="none" w:sz="0" w:space="0" w:color="auto"/>
        <w:left w:val="none" w:sz="0" w:space="0" w:color="auto"/>
        <w:bottom w:val="none" w:sz="0" w:space="0" w:color="auto"/>
        <w:right w:val="none" w:sz="0" w:space="0" w:color="auto"/>
      </w:divBdr>
    </w:div>
    <w:div w:id="1516722491">
      <w:bodyDiv w:val="1"/>
      <w:marLeft w:val="0"/>
      <w:marRight w:val="0"/>
      <w:marTop w:val="0"/>
      <w:marBottom w:val="0"/>
      <w:divBdr>
        <w:top w:val="none" w:sz="0" w:space="0" w:color="auto"/>
        <w:left w:val="none" w:sz="0" w:space="0" w:color="auto"/>
        <w:bottom w:val="none" w:sz="0" w:space="0" w:color="auto"/>
        <w:right w:val="none" w:sz="0" w:space="0" w:color="auto"/>
      </w:divBdr>
    </w:div>
    <w:div w:id="1592813880">
      <w:bodyDiv w:val="1"/>
      <w:marLeft w:val="0"/>
      <w:marRight w:val="0"/>
      <w:marTop w:val="0"/>
      <w:marBottom w:val="0"/>
      <w:divBdr>
        <w:top w:val="none" w:sz="0" w:space="0" w:color="auto"/>
        <w:left w:val="none" w:sz="0" w:space="0" w:color="auto"/>
        <w:bottom w:val="none" w:sz="0" w:space="0" w:color="auto"/>
        <w:right w:val="none" w:sz="0" w:space="0" w:color="auto"/>
      </w:divBdr>
    </w:div>
    <w:div w:id="1643459199">
      <w:bodyDiv w:val="1"/>
      <w:marLeft w:val="0"/>
      <w:marRight w:val="0"/>
      <w:marTop w:val="0"/>
      <w:marBottom w:val="0"/>
      <w:divBdr>
        <w:top w:val="none" w:sz="0" w:space="0" w:color="auto"/>
        <w:left w:val="none" w:sz="0" w:space="0" w:color="auto"/>
        <w:bottom w:val="none" w:sz="0" w:space="0" w:color="auto"/>
        <w:right w:val="none" w:sz="0" w:space="0" w:color="auto"/>
      </w:divBdr>
    </w:div>
    <w:div w:id="1658146775">
      <w:bodyDiv w:val="1"/>
      <w:marLeft w:val="0"/>
      <w:marRight w:val="0"/>
      <w:marTop w:val="0"/>
      <w:marBottom w:val="0"/>
      <w:divBdr>
        <w:top w:val="none" w:sz="0" w:space="0" w:color="auto"/>
        <w:left w:val="none" w:sz="0" w:space="0" w:color="auto"/>
        <w:bottom w:val="none" w:sz="0" w:space="0" w:color="auto"/>
        <w:right w:val="none" w:sz="0" w:space="0" w:color="auto"/>
      </w:divBdr>
    </w:div>
    <w:div w:id="1754355100">
      <w:bodyDiv w:val="1"/>
      <w:marLeft w:val="0"/>
      <w:marRight w:val="0"/>
      <w:marTop w:val="0"/>
      <w:marBottom w:val="0"/>
      <w:divBdr>
        <w:top w:val="none" w:sz="0" w:space="0" w:color="auto"/>
        <w:left w:val="none" w:sz="0" w:space="0" w:color="auto"/>
        <w:bottom w:val="none" w:sz="0" w:space="0" w:color="auto"/>
        <w:right w:val="none" w:sz="0" w:space="0" w:color="auto"/>
      </w:divBdr>
    </w:div>
    <w:div w:id="1778476782">
      <w:bodyDiv w:val="1"/>
      <w:marLeft w:val="0"/>
      <w:marRight w:val="0"/>
      <w:marTop w:val="0"/>
      <w:marBottom w:val="0"/>
      <w:divBdr>
        <w:top w:val="none" w:sz="0" w:space="0" w:color="auto"/>
        <w:left w:val="none" w:sz="0" w:space="0" w:color="auto"/>
        <w:bottom w:val="none" w:sz="0" w:space="0" w:color="auto"/>
        <w:right w:val="none" w:sz="0" w:space="0" w:color="auto"/>
      </w:divBdr>
    </w:div>
    <w:div w:id="1802116106">
      <w:bodyDiv w:val="1"/>
      <w:marLeft w:val="0"/>
      <w:marRight w:val="0"/>
      <w:marTop w:val="0"/>
      <w:marBottom w:val="0"/>
      <w:divBdr>
        <w:top w:val="none" w:sz="0" w:space="0" w:color="auto"/>
        <w:left w:val="none" w:sz="0" w:space="0" w:color="auto"/>
        <w:bottom w:val="none" w:sz="0" w:space="0" w:color="auto"/>
        <w:right w:val="none" w:sz="0" w:space="0" w:color="auto"/>
      </w:divBdr>
    </w:div>
    <w:div w:id="1897084328">
      <w:bodyDiv w:val="1"/>
      <w:marLeft w:val="0"/>
      <w:marRight w:val="0"/>
      <w:marTop w:val="0"/>
      <w:marBottom w:val="0"/>
      <w:divBdr>
        <w:top w:val="none" w:sz="0" w:space="0" w:color="auto"/>
        <w:left w:val="none" w:sz="0" w:space="0" w:color="auto"/>
        <w:bottom w:val="none" w:sz="0" w:space="0" w:color="auto"/>
        <w:right w:val="none" w:sz="0" w:space="0" w:color="auto"/>
      </w:divBdr>
    </w:div>
    <w:div w:id="1928150584">
      <w:bodyDiv w:val="1"/>
      <w:marLeft w:val="0"/>
      <w:marRight w:val="0"/>
      <w:marTop w:val="0"/>
      <w:marBottom w:val="0"/>
      <w:divBdr>
        <w:top w:val="none" w:sz="0" w:space="0" w:color="auto"/>
        <w:left w:val="none" w:sz="0" w:space="0" w:color="auto"/>
        <w:bottom w:val="none" w:sz="0" w:space="0" w:color="auto"/>
        <w:right w:val="none" w:sz="0" w:space="0" w:color="auto"/>
      </w:divBdr>
    </w:div>
    <w:div w:id="1945529562">
      <w:bodyDiv w:val="1"/>
      <w:marLeft w:val="0"/>
      <w:marRight w:val="0"/>
      <w:marTop w:val="0"/>
      <w:marBottom w:val="0"/>
      <w:divBdr>
        <w:top w:val="none" w:sz="0" w:space="0" w:color="auto"/>
        <w:left w:val="none" w:sz="0" w:space="0" w:color="auto"/>
        <w:bottom w:val="none" w:sz="0" w:space="0" w:color="auto"/>
        <w:right w:val="none" w:sz="0" w:space="0" w:color="auto"/>
      </w:divBdr>
    </w:div>
    <w:div w:id="2059474806">
      <w:bodyDiv w:val="1"/>
      <w:marLeft w:val="0"/>
      <w:marRight w:val="0"/>
      <w:marTop w:val="0"/>
      <w:marBottom w:val="0"/>
      <w:divBdr>
        <w:top w:val="none" w:sz="0" w:space="0" w:color="auto"/>
        <w:left w:val="none" w:sz="0" w:space="0" w:color="auto"/>
        <w:bottom w:val="none" w:sz="0" w:space="0" w:color="auto"/>
        <w:right w:val="none" w:sz="0" w:space="0" w:color="auto"/>
      </w:divBdr>
    </w:div>
    <w:div w:id="2086877835">
      <w:bodyDiv w:val="1"/>
      <w:marLeft w:val="0"/>
      <w:marRight w:val="0"/>
      <w:marTop w:val="0"/>
      <w:marBottom w:val="0"/>
      <w:divBdr>
        <w:top w:val="none" w:sz="0" w:space="0" w:color="auto"/>
        <w:left w:val="none" w:sz="0" w:space="0" w:color="auto"/>
        <w:bottom w:val="none" w:sz="0" w:space="0" w:color="auto"/>
        <w:right w:val="none" w:sz="0" w:space="0" w:color="auto"/>
      </w:divBdr>
      <w:divsChild>
        <w:div w:id="1977099903">
          <w:marLeft w:val="0"/>
          <w:marRight w:val="0"/>
          <w:marTop w:val="0"/>
          <w:marBottom w:val="0"/>
          <w:divBdr>
            <w:top w:val="none" w:sz="0" w:space="0" w:color="auto"/>
            <w:left w:val="none" w:sz="0" w:space="0" w:color="auto"/>
            <w:bottom w:val="none" w:sz="0" w:space="0" w:color="auto"/>
            <w:right w:val="none" w:sz="0" w:space="0" w:color="auto"/>
          </w:divBdr>
          <w:divsChild>
            <w:div w:id="1360813739">
              <w:marLeft w:val="0"/>
              <w:marRight w:val="0"/>
              <w:marTop w:val="0"/>
              <w:marBottom w:val="0"/>
              <w:divBdr>
                <w:top w:val="none" w:sz="0" w:space="0" w:color="auto"/>
                <w:left w:val="none" w:sz="0" w:space="0" w:color="auto"/>
                <w:bottom w:val="none" w:sz="0" w:space="0" w:color="auto"/>
                <w:right w:val="none" w:sz="0" w:space="0" w:color="auto"/>
              </w:divBdr>
              <w:divsChild>
                <w:div w:id="7661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49504">
      <w:bodyDiv w:val="1"/>
      <w:marLeft w:val="0"/>
      <w:marRight w:val="0"/>
      <w:marTop w:val="0"/>
      <w:marBottom w:val="0"/>
      <w:divBdr>
        <w:top w:val="none" w:sz="0" w:space="0" w:color="auto"/>
        <w:left w:val="none" w:sz="0" w:space="0" w:color="auto"/>
        <w:bottom w:val="none" w:sz="0" w:space="0" w:color="auto"/>
        <w:right w:val="none" w:sz="0" w:space="0" w:color="auto"/>
      </w:divBdr>
    </w:div>
    <w:div w:id="2140223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reviews/pbs-restriction-changes-to-type-2-diabetes-mellitus-t2dm-medicines" TargetMode="External"/><Relationship Id="rId13" Type="http://schemas.openxmlformats.org/officeDocument/2006/relationships/hyperlink" Target="https://www.pbs.gov.au/info/browse/review-of-clinical-guidelines-and-cost-estimates-for-the-use-of-aeds" TargetMode="External"/><Relationship Id="rId18" Type="http://schemas.openxmlformats.org/officeDocument/2006/relationships/hyperlink" Target="https://consultations.health.gov.au/"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pbs.gov.au/info/industry/listing/elements/pbac-meetings/pbac-outcomes" TargetMode="External"/><Relationship Id="rId7" Type="http://schemas.openxmlformats.org/officeDocument/2006/relationships/hyperlink" Target="https://www.pbs.gov.au/reviews/subsidised-medicines-reviews-files/2024-post-market-review-framework.PDF" TargetMode="External"/><Relationship Id="rId12" Type="http://schemas.openxmlformats.org/officeDocument/2006/relationships/hyperlink" Target="https://www.pbs.gov.au/info/industry/listing/elements/pbac-meetings/pbac-outcomes/recommendations-made-by-the-pbac-may-2025-intracycle-meeting" TargetMode="External"/><Relationship Id="rId17" Type="http://schemas.openxmlformats.org/officeDocument/2006/relationships/hyperlink" Target="https://www.pbs.gov.au/reviews/rapid-review-of-pbs-medicines-for-relapsing-remitting-multiple-sclerosis-rrm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pbs.gov.au/reviews/utilisation-analysis-of-pbs-listed-disease-modifying-therapies-for-relapsing-remitting-multiple" TargetMode="External"/><Relationship Id="rId20" Type="http://schemas.openxmlformats.org/officeDocument/2006/relationships/hyperlink" Target="https://www.aph.gov.au/Parliamentary_Business/Committees/Senate/Community_Affairs/ADHD"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bs.gov.au/reviews/monitoring-system-for-final-trial-overall-survival-results-for-cancer-medicines" TargetMode="External"/><Relationship Id="rId24" Type="http://schemas.openxmlformats.org/officeDocument/2006/relationships/hyperlink" Target="https://www.pbs.gov.au/pbs/news/2026/04/outcome-statement-for-february-2026-stakeholder-sponsor-meeting-multiple-myelom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bs.gov.au/info/reviews/pbs-restriction-changes-for-antihypertensive-dual-therapy-fixed-dose-combinationsi" TargetMode="External"/><Relationship Id="rId23" Type="http://schemas.openxmlformats.org/officeDocument/2006/relationships/hyperlink" Target="https://www.pbs.gov.au/info/news/2025/09/outcome-statement-for-july-2025-stakeholder-meeting-multiple-myeloma" TargetMode="External"/><Relationship Id="rId28" Type="http://schemas.openxmlformats.org/officeDocument/2006/relationships/footer" Target="footer2.xml"/><Relationship Id="rId10" Type="http://schemas.openxmlformats.org/officeDocument/2006/relationships/hyperlink" Target="https://www.pbs.gov.au/info/industry/listing/elements/pbac-meetings/pbac-outcomes/recommendations-made-by-the-pbac-november-2025" TargetMode="External"/><Relationship Id="rId19" Type="http://schemas.openxmlformats.org/officeDocument/2006/relationships/hyperlink" Target="https://www.pbs.gov.au/info/industry/listing/elements/pbac-meetings/stakeholder-meeting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bs.gov.au/info/reviews/review-of-cancer-related-surrogate-outcomes-used-for-pharmaceutical" TargetMode="External"/><Relationship Id="rId14" Type="http://schemas.openxmlformats.org/officeDocument/2006/relationships/hyperlink" Target="https://www.pbs.gov.au/info/reviews/lamotrigine-for-bipolar-disorder" TargetMode="External"/><Relationship Id="rId22" Type="http://schemas.openxmlformats.org/officeDocument/2006/relationships/hyperlink" Target="https://www.pbs.gov.au/info/industry/listing/elements/pbac-meetings/stakeholder-meetings"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4980</Words>
  <Characters>29036</Characters>
  <Application>Microsoft Office Word</Application>
  <DocSecurity>0</DocSecurity>
  <Lines>631</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33721</CharactersWithSpaces>
  <SharedDoc>false</SharedDoc>
  <HLinks>
    <vt:vector size="96" baseType="variant">
      <vt:variant>
        <vt:i4>1114121</vt:i4>
      </vt:variant>
      <vt:variant>
        <vt:i4>39</vt:i4>
      </vt:variant>
      <vt:variant>
        <vt:i4>0</vt:i4>
      </vt:variant>
      <vt:variant>
        <vt:i4>5</vt:i4>
      </vt:variant>
      <vt:variant>
        <vt:lpwstr>https://www.pbs.gov.au/info/industry/listing/elements/pbac-meetings/pbac-outcomes</vt:lpwstr>
      </vt:variant>
      <vt:variant>
        <vt:lpwstr/>
      </vt:variant>
      <vt:variant>
        <vt:i4>4849675</vt:i4>
      </vt:variant>
      <vt:variant>
        <vt:i4>36</vt:i4>
      </vt:variant>
      <vt:variant>
        <vt:i4>0</vt:i4>
      </vt:variant>
      <vt:variant>
        <vt:i4>5</vt:i4>
      </vt:variant>
      <vt:variant>
        <vt:lpwstr>https://www.aph.gov.au/Parliamentary_Business/Committees/Senate/Community_Affairs/ADHD</vt:lpwstr>
      </vt:variant>
      <vt:variant>
        <vt:lpwstr/>
      </vt:variant>
      <vt:variant>
        <vt:i4>6160454</vt:i4>
      </vt:variant>
      <vt:variant>
        <vt:i4>33</vt:i4>
      </vt:variant>
      <vt:variant>
        <vt:i4>0</vt:i4>
      </vt:variant>
      <vt:variant>
        <vt:i4>5</vt:i4>
      </vt:variant>
      <vt:variant>
        <vt:lpwstr>https://www.pbs.gov.au/info/industry/listing/elements/pbac-meetings/stakeholder-meetings</vt:lpwstr>
      </vt:variant>
      <vt:variant>
        <vt:lpwstr/>
      </vt:variant>
      <vt:variant>
        <vt:i4>6815856</vt:i4>
      </vt:variant>
      <vt:variant>
        <vt:i4>30</vt:i4>
      </vt:variant>
      <vt:variant>
        <vt:i4>0</vt:i4>
      </vt:variant>
      <vt:variant>
        <vt:i4>5</vt:i4>
      </vt:variant>
      <vt:variant>
        <vt:lpwstr>https://www.pbs.gov.au/info/reviews/pbs-restriction-changes-for-antihypertensive-dual-therapy-fixed-dose-combinationsi</vt:lpwstr>
      </vt:variant>
      <vt:variant>
        <vt:lpwstr/>
      </vt:variant>
      <vt:variant>
        <vt:i4>262151</vt:i4>
      </vt:variant>
      <vt:variant>
        <vt:i4>27</vt:i4>
      </vt:variant>
      <vt:variant>
        <vt:i4>0</vt:i4>
      </vt:variant>
      <vt:variant>
        <vt:i4>5</vt:i4>
      </vt:variant>
      <vt:variant>
        <vt:lpwstr>https://www.pbs.gov.au/info/reviews/lamotrigine-for-bipolar-disorder</vt:lpwstr>
      </vt:variant>
      <vt:variant>
        <vt:lpwstr/>
      </vt:variant>
      <vt:variant>
        <vt:i4>2359331</vt:i4>
      </vt:variant>
      <vt:variant>
        <vt:i4>24</vt:i4>
      </vt:variant>
      <vt:variant>
        <vt:i4>0</vt:i4>
      </vt:variant>
      <vt:variant>
        <vt:i4>5</vt:i4>
      </vt:variant>
      <vt:variant>
        <vt:lpwstr>https://www.pbs.gov.au/info/browse/review-of-clinical-guidelines-and-cost-estimates-for-the-use-of-aeds</vt:lpwstr>
      </vt:variant>
      <vt:variant>
        <vt:lpwstr/>
      </vt:variant>
      <vt:variant>
        <vt:i4>3473517</vt:i4>
      </vt:variant>
      <vt:variant>
        <vt:i4>21</vt:i4>
      </vt:variant>
      <vt:variant>
        <vt:i4>0</vt:i4>
      </vt:variant>
      <vt:variant>
        <vt:i4>5</vt:i4>
      </vt:variant>
      <vt:variant>
        <vt:lpwstr>https://www.pbs.gov.au/info/industry/listing/elements/pbac-meetings/pbac-outcomes/recommendations-made-by-the-pbac-may-2025-intracycle-meeting</vt:lpwstr>
      </vt:variant>
      <vt:variant>
        <vt:lpwstr/>
      </vt:variant>
      <vt:variant>
        <vt:i4>4915283</vt:i4>
      </vt:variant>
      <vt:variant>
        <vt:i4>18</vt:i4>
      </vt:variant>
      <vt:variant>
        <vt:i4>0</vt:i4>
      </vt:variant>
      <vt:variant>
        <vt:i4>5</vt:i4>
      </vt:variant>
      <vt:variant>
        <vt:lpwstr>https://www.pbs.gov.au/pbs/news/2026/04/outcome-statement-for-february-2026-stakeholder-sponsor-meeting-multiple-myeloma</vt:lpwstr>
      </vt:variant>
      <vt:variant>
        <vt:lpwstr/>
      </vt:variant>
      <vt:variant>
        <vt:i4>262232</vt:i4>
      </vt:variant>
      <vt:variant>
        <vt:i4>15</vt:i4>
      </vt:variant>
      <vt:variant>
        <vt:i4>0</vt:i4>
      </vt:variant>
      <vt:variant>
        <vt:i4>5</vt:i4>
      </vt:variant>
      <vt:variant>
        <vt:lpwstr>https://www.pbs.gov.au/info/news/2025/09/outcome-statement-for-july-2025-stakeholder-meeting-multiple-myeloma</vt:lpwstr>
      </vt:variant>
      <vt:variant>
        <vt:lpwstr/>
      </vt:variant>
      <vt:variant>
        <vt:i4>6160454</vt:i4>
      </vt:variant>
      <vt:variant>
        <vt:i4>12</vt:i4>
      </vt:variant>
      <vt:variant>
        <vt:i4>0</vt:i4>
      </vt:variant>
      <vt:variant>
        <vt:i4>5</vt:i4>
      </vt:variant>
      <vt:variant>
        <vt:lpwstr>https://www.pbs.gov.au/info/industry/listing/elements/pbac-meetings/stakeholder-meetings</vt:lpwstr>
      </vt:variant>
      <vt:variant>
        <vt:lpwstr/>
      </vt:variant>
      <vt:variant>
        <vt:i4>4915205</vt:i4>
      </vt:variant>
      <vt:variant>
        <vt:i4>9</vt:i4>
      </vt:variant>
      <vt:variant>
        <vt:i4>0</vt:i4>
      </vt:variant>
      <vt:variant>
        <vt:i4>5</vt:i4>
      </vt:variant>
      <vt:variant>
        <vt:lpwstr>https://www.pbs.gov.au/info/industry/listing/elements/pbac-meetings/pbac-outcomes/recommendations-made-by-the-pbac-november-2025</vt:lpwstr>
      </vt:variant>
      <vt:variant>
        <vt:lpwstr/>
      </vt:variant>
      <vt:variant>
        <vt:i4>3407979</vt:i4>
      </vt:variant>
      <vt:variant>
        <vt:i4>6</vt:i4>
      </vt:variant>
      <vt:variant>
        <vt:i4>0</vt:i4>
      </vt:variant>
      <vt:variant>
        <vt:i4>5</vt:i4>
      </vt:variant>
      <vt:variant>
        <vt:lpwstr>https://www.pbs.gov.au/info/reviews/review-of-cancer-related-surrogate-outcomes-used-for-pharmaceutical</vt:lpwstr>
      </vt:variant>
      <vt:variant>
        <vt:lpwstr/>
      </vt:variant>
      <vt:variant>
        <vt:i4>7602273</vt:i4>
      </vt:variant>
      <vt:variant>
        <vt:i4>3</vt:i4>
      </vt:variant>
      <vt:variant>
        <vt:i4>0</vt:i4>
      </vt:variant>
      <vt:variant>
        <vt:i4>5</vt:i4>
      </vt:variant>
      <vt:variant>
        <vt:lpwstr>https://www.pbs.gov.au/info/reviews/pbs-restriction-changes-to-type-2-diabetes-mellitus-t2dm-medicines</vt:lpwstr>
      </vt:variant>
      <vt:variant>
        <vt:lpwstr/>
      </vt:variant>
      <vt:variant>
        <vt:i4>7012397</vt:i4>
      </vt:variant>
      <vt:variant>
        <vt:i4>0</vt:i4>
      </vt:variant>
      <vt:variant>
        <vt:i4>0</vt:i4>
      </vt:variant>
      <vt:variant>
        <vt:i4>5</vt:i4>
      </vt:variant>
      <vt:variant>
        <vt:lpwstr>https://www.pbs.gov.au/reviews/subsidised-medicines-reviews-files/2024-post-market-review-framework.PDF</vt:lpwstr>
      </vt:variant>
      <vt:variant>
        <vt:lpwstr/>
      </vt:variant>
      <vt:variant>
        <vt:i4>6422608</vt:i4>
      </vt:variant>
      <vt:variant>
        <vt:i4>3</vt:i4>
      </vt:variant>
      <vt:variant>
        <vt:i4>0</vt:i4>
      </vt:variant>
      <vt:variant>
        <vt:i4>5</vt:i4>
      </vt:variant>
      <vt:variant>
        <vt:lpwstr>mailto:Michael.BURTT@health.gov.au</vt:lpwstr>
      </vt:variant>
      <vt:variant>
        <vt:lpwstr/>
      </vt:variant>
      <vt:variant>
        <vt:i4>5111904</vt:i4>
      </vt:variant>
      <vt:variant>
        <vt:i4>0</vt:i4>
      </vt:variant>
      <vt:variant>
        <vt:i4>0</vt:i4>
      </vt:variant>
      <vt:variant>
        <vt:i4>5</vt:i4>
      </vt:variant>
      <vt:variant>
        <vt:lpwstr>mailto:Tamara.TING@health.gov.au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2026-08-19T00:58:00Z</dcterms:created>
  <dcterms:modified xsi:type="dcterms:W3CDTF">2026-08-19T00:59:00Z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5aa93650,4e27d4b6,3f064fed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5c5554f8,b41c777,6795d3e7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2026-08-19T00:44:00Z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69b404a4-078c-4338-89a7-c93ddc7b5dd9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