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85B0" w14:textId="7E3C9963" w:rsidR="00D64961" w:rsidRDefault="008E65F3" w:rsidP="006F2C1C">
      <w:pPr>
        <w:jc w:val="center"/>
        <w:rPr>
          <w:b/>
          <w:bCs/>
          <w:sz w:val="32"/>
          <w:szCs w:val="32"/>
        </w:rPr>
      </w:pPr>
      <w:r w:rsidRPr="00991351">
        <w:rPr>
          <w:b/>
          <w:bCs/>
          <w:sz w:val="32"/>
          <w:szCs w:val="32"/>
        </w:rPr>
        <w:t>Summary of changes</w:t>
      </w:r>
      <w:r w:rsidR="005F1F81" w:rsidRPr="005F1F81">
        <w:rPr>
          <w:rFonts w:eastAsia="Calibri" w:cs="Arial"/>
          <w:sz w:val="24"/>
          <w:szCs w:val="24"/>
        </w:rPr>
        <w:t xml:space="preserve"> </w:t>
      </w:r>
      <w:r w:rsidR="005F1F81" w:rsidRPr="005F1F81">
        <w:rPr>
          <w:b/>
          <w:bCs/>
          <w:sz w:val="32"/>
          <w:szCs w:val="32"/>
        </w:rPr>
        <w:t>between the 201</w:t>
      </w:r>
      <w:r w:rsidR="003239C1">
        <w:rPr>
          <w:b/>
          <w:bCs/>
          <w:sz w:val="32"/>
          <w:szCs w:val="32"/>
        </w:rPr>
        <w:t>5</w:t>
      </w:r>
      <w:r w:rsidR="005F1F81" w:rsidRPr="005F1F81">
        <w:rPr>
          <w:b/>
          <w:bCs/>
          <w:sz w:val="32"/>
          <w:szCs w:val="32"/>
        </w:rPr>
        <w:t xml:space="preserve"> PMR Framework, the revised PMR Framework consultation draft, and the 202</w:t>
      </w:r>
      <w:r w:rsidR="003C49BA">
        <w:rPr>
          <w:b/>
          <w:bCs/>
          <w:sz w:val="32"/>
          <w:szCs w:val="32"/>
        </w:rPr>
        <w:t>4</w:t>
      </w:r>
      <w:r w:rsidR="00B851A0">
        <w:rPr>
          <w:b/>
          <w:bCs/>
          <w:sz w:val="32"/>
          <w:szCs w:val="32"/>
        </w:rPr>
        <w:t xml:space="preserve"> </w:t>
      </w:r>
      <w:r w:rsidR="005F1F81" w:rsidRPr="005F1F81">
        <w:rPr>
          <w:b/>
          <w:bCs/>
          <w:sz w:val="32"/>
          <w:szCs w:val="32"/>
        </w:rPr>
        <w:t>PMR Framework</w:t>
      </w:r>
    </w:p>
    <w:p w14:paraId="602EB99E" w14:textId="411D4749" w:rsidR="00B80D4F" w:rsidRDefault="00B80D4F" w:rsidP="00B80D4F">
      <w:pPr>
        <w:pStyle w:val="Heading1"/>
        <w:spacing w:after="120" w:line="240" w:lineRule="auto"/>
        <w:rPr>
          <w:rFonts w:asciiTheme="minorHAnsi" w:hAnsiTheme="minorHAnsi" w:cstheme="minorHAnsi"/>
          <w:b/>
          <w:bCs/>
          <w:color w:val="auto"/>
          <w:sz w:val="28"/>
          <w:szCs w:val="28"/>
        </w:rPr>
      </w:pPr>
      <w:r w:rsidRPr="00B80D4F">
        <w:rPr>
          <w:rFonts w:asciiTheme="minorHAnsi" w:hAnsiTheme="minorHAnsi" w:cstheme="minorHAnsi"/>
          <w:b/>
          <w:bCs/>
          <w:color w:val="auto"/>
          <w:sz w:val="28"/>
          <w:szCs w:val="28"/>
        </w:rPr>
        <w:t>Background</w:t>
      </w:r>
    </w:p>
    <w:p w14:paraId="3A08CAFF" w14:textId="0F5D63C3" w:rsidR="009801A9" w:rsidRPr="009801A9" w:rsidRDefault="009801A9" w:rsidP="009801A9">
      <w:pPr>
        <w:spacing w:before="120" w:after="120" w:line="240" w:lineRule="auto"/>
        <w:jc w:val="both"/>
        <w:rPr>
          <w:rFonts w:eastAsia="Calibri" w:cs="Arial"/>
          <w:sz w:val="24"/>
          <w:szCs w:val="24"/>
        </w:rPr>
      </w:pPr>
      <w:r w:rsidRPr="009801A9">
        <w:rPr>
          <w:rFonts w:eastAsia="Calibri" w:cs="Arial"/>
          <w:sz w:val="24"/>
          <w:szCs w:val="24"/>
        </w:rPr>
        <w:t>In 201</w:t>
      </w:r>
      <w:r w:rsidR="003960DB">
        <w:rPr>
          <w:rFonts w:eastAsia="Calibri" w:cs="Arial"/>
          <w:sz w:val="24"/>
          <w:szCs w:val="24"/>
        </w:rPr>
        <w:t>1</w:t>
      </w:r>
      <w:r w:rsidRPr="009801A9">
        <w:rPr>
          <w:rFonts w:eastAsia="Calibri" w:cs="Arial"/>
          <w:sz w:val="24"/>
          <w:szCs w:val="24"/>
        </w:rPr>
        <w:t>, the Australian Government introduced Pharmaceutical Benefits Scheme (PBS) Post-market Reviews (PMRs) as a systematic approach to monitoring medicines following PBS listing, to inform decision making relating to ongoing access and subsidy. PMRs provide evidence and options to the Pharmaceutical Benefits Advisory Committee (PBAC) to ensure patient safety, quality use of medicines and the ongoing cost-effective use of PBS-listed medicines.</w:t>
      </w:r>
    </w:p>
    <w:p w14:paraId="754D42A3" w14:textId="21B2DDBF" w:rsidR="006E17F5" w:rsidRDefault="003960DB" w:rsidP="00991351">
      <w:pPr>
        <w:spacing w:before="120" w:after="120" w:line="240" w:lineRule="auto"/>
        <w:jc w:val="both"/>
        <w:rPr>
          <w:rFonts w:eastAsia="Calibri" w:cs="Arial"/>
          <w:sz w:val="24"/>
          <w:szCs w:val="24"/>
        </w:rPr>
      </w:pPr>
      <w:r>
        <w:rPr>
          <w:rFonts w:eastAsia="Calibri" w:cs="Arial"/>
          <w:sz w:val="24"/>
          <w:szCs w:val="24"/>
        </w:rPr>
        <w:t>The</w:t>
      </w:r>
      <w:r w:rsidR="001E0C91" w:rsidRPr="001E0C91">
        <w:rPr>
          <w:rFonts w:eastAsia="Calibri" w:cs="Arial"/>
          <w:sz w:val="24"/>
          <w:szCs w:val="24"/>
        </w:rPr>
        <w:t xml:space="preserve"> 201</w:t>
      </w:r>
      <w:r w:rsidR="003239C1">
        <w:rPr>
          <w:rFonts w:eastAsia="Calibri" w:cs="Arial"/>
          <w:sz w:val="24"/>
          <w:szCs w:val="24"/>
        </w:rPr>
        <w:t>5</w:t>
      </w:r>
      <w:r w:rsidR="001E0C91" w:rsidRPr="001E0C91">
        <w:rPr>
          <w:rFonts w:eastAsia="Calibri" w:cs="Arial"/>
          <w:sz w:val="24"/>
          <w:szCs w:val="24"/>
        </w:rPr>
        <w:t xml:space="preserve"> PMR Framework</w:t>
      </w:r>
      <w:r>
        <w:rPr>
          <w:rFonts w:eastAsia="Calibri" w:cs="Arial"/>
          <w:sz w:val="24"/>
          <w:szCs w:val="24"/>
        </w:rPr>
        <w:t xml:space="preserve"> was</w:t>
      </w:r>
      <w:r w:rsidR="001E0C91" w:rsidRPr="001E0C91">
        <w:rPr>
          <w:rFonts w:eastAsia="Calibri" w:cs="Arial"/>
          <w:sz w:val="24"/>
          <w:szCs w:val="24"/>
        </w:rPr>
        <w:t xml:space="preserve"> developed in consultation with industry in 2014 and announced by the Minister for Health on 18 March 2015.</w:t>
      </w:r>
    </w:p>
    <w:p w14:paraId="06EB05C2" w14:textId="547934B1" w:rsidR="00B80D4F" w:rsidRPr="006F2C1C" w:rsidRDefault="00B80D4F" w:rsidP="00991351">
      <w:pPr>
        <w:spacing w:before="120" w:after="120" w:line="240" w:lineRule="auto"/>
        <w:jc w:val="both"/>
        <w:rPr>
          <w:rFonts w:eastAsia="Calibri" w:cs="Arial"/>
          <w:sz w:val="24"/>
          <w:szCs w:val="24"/>
        </w:rPr>
      </w:pPr>
      <w:r w:rsidRPr="006F2C1C">
        <w:rPr>
          <w:rFonts w:eastAsia="Calibri" w:cs="Arial"/>
          <w:sz w:val="24"/>
          <w:szCs w:val="24"/>
        </w:rPr>
        <w:t xml:space="preserve">In 2022, the </w:t>
      </w:r>
      <w:r w:rsidR="00E00ABF">
        <w:rPr>
          <w:rFonts w:eastAsia="Calibri" w:cs="Arial"/>
          <w:sz w:val="24"/>
          <w:szCs w:val="24"/>
        </w:rPr>
        <w:t>201</w:t>
      </w:r>
      <w:r w:rsidR="003239C1">
        <w:rPr>
          <w:rFonts w:eastAsia="Calibri" w:cs="Arial"/>
          <w:sz w:val="24"/>
          <w:szCs w:val="24"/>
        </w:rPr>
        <w:t>5</w:t>
      </w:r>
      <w:r w:rsidR="00E00ABF">
        <w:rPr>
          <w:rFonts w:eastAsia="Calibri" w:cs="Arial"/>
          <w:sz w:val="24"/>
          <w:szCs w:val="24"/>
        </w:rPr>
        <w:t xml:space="preserve"> </w:t>
      </w:r>
      <w:r w:rsidR="00517251">
        <w:rPr>
          <w:rFonts w:eastAsia="Calibri" w:cs="Arial"/>
          <w:sz w:val="24"/>
          <w:szCs w:val="24"/>
        </w:rPr>
        <w:t>PMR</w:t>
      </w:r>
      <w:r w:rsidRPr="006F2C1C">
        <w:rPr>
          <w:rFonts w:eastAsia="Calibri" w:cs="Arial"/>
          <w:sz w:val="24"/>
          <w:szCs w:val="24"/>
        </w:rPr>
        <w:t xml:space="preserve"> Framework was reconsidered in the context of the</w:t>
      </w:r>
      <w:r w:rsidR="00AF3501">
        <w:rPr>
          <w:rFonts w:eastAsia="Calibri" w:cs="Arial"/>
          <w:sz w:val="24"/>
          <w:szCs w:val="24"/>
        </w:rPr>
        <w:t xml:space="preserve"> new</w:t>
      </w:r>
      <w:r w:rsidRPr="006F2C1C">
        <w:rPr>
          <w:rFonts w:eastAsia="Calibri" w:cs="Arial"/>
          <w:sz w:val="24"/>
          <w:szCs w:val="24"/>
        </w:rPr>
        <w:t xml:space="preserve"> </w:t>
      </w:r>
      <w:bookmarkStart w:id="0" w:name="_Hlk83121151"/>
      <w:r w:rsidRPr="006F2C1C">
        <w:rPr>
          <w:rFonts w:eastAsia="Times New Roman" w:cs="Arial"/>
          <w:sz w:val="24"/>
          <w:szCs w:val="24"/>
        </w:rPr>
        <w:fldChar w:fldCharType="begin"/>
      </w:r>
      <w:r w:rsidR="00517251">
        <w:rPr>
          <w:rFonts w:eastAsia="Times New Roman" w:cs="Arial"/>
          <w:sz w:val="24"/>
          <w:szCs w:val="24"/>
        </w:rPr>
        <w:instrText>HYPERLINK "https://www.pbs.gov.au/info/general/medicines-industry-strategic-agreement"</w:instrText>
      </w:r>
      <w:r w:rsidRPr="006F2C1C">
        <w:rPr>
          <w:rFonts w:eastAsia="Times New Roman" w:cs="Arial"/>
          <w:sz w:val="24"/>
          <w:szCs w:val="24"/>
        </w:rPr>
      </w:r>
      <w:r w:rsidRPr="006F2C1C">
        <w:rPr>
          <w:rFonts w:eastAsia="Times New Roman" w:cs="Arial"/>
          <w:sz w:val="24"/>
          <w:szCs w:val="24"/>
        </w:rPr>
        <w:fldChar w:fldCharType="separate"/>
      </w:r>
      <w:r w:rsidR="00517251">
        <w:rPr>
          <w:rFonts w:eastAsia="Calibri" w:cs="Arial"/>
          <w:color w:val="0000FF"/>
          <w:sz w:val="24"/>
          <w:szCs w:val="24"/>
          <w:u w:val="single"/>
        </w:rPr>
        <w:t>Strategic Agreement</w:t>
      </w:r>
      <w:r w:rsidRPr="006F2C1C">
        <w:rPr>
          <w:rFonts w:eastAsia="Calibri" w:cs="Arial"/>
          <w:color w:val="0000FF"/>
          <w:sz w:val="24"/>
          <w:szCs w:val="24"/>
          <w:u w:val="single"/>
        </w:rPr>
        <w:fldChar w:fldCharType="end"/>
      </w:r>
      <w:r w:rsidRPr="006F2C1C">
        <w:rPr>
          <w:rFonts w:eastAsia="Calibri" w:cs="Arial"/>
          <w:sz w:val="24"/>
          <w:szCs w:val="24"/>
        </w:rPr>
        <w:t xml:space="preserve"> </w:t>
      </w:r>
      <w:bookmarkEnd w:id="0"/>
      <w:r w:rsidRPr="006F2C1C">
        <w:rPr>
          <w:rFonts w:eastAsia="Calibri" w:cs="Arial"/>
          <w:sz w:val="24"/>
          <w:szCs w:val="24"/>
        </w:rPr>
        <w:t>between the Commonwealth</w:t>
      </w:r>
      <w:r w:rsidR="00D93CAC">
        <w:rPr>
          <w:rFonts w:eastAsia="Calibri" w:cs="Arial"/>
          <w:sz w:val="24"/>
          <w:szCs w:val="24"/>
        </w:rPr>
        <w:t xml:space="preserve"> and</w:t>
      </w:r>
      <w:r w:rsidRPr="006F2C1C">
        <w:rPr>
          <w:rFonts w:eastAsia="Calibri" w:cs="Arial"/>
          <w:sz w:val="24"/>
          <w:szCs w:val="24"/>
        </w:rPr>
        <w:t xml:space="preserve"> </w:t>
      </w:r>
      <w:bookmarkStart w:id="1" w:name="_Hlk101860202"/>
      <w:r w:rsidRPr="006F2C1C">
        <w:rPr>
          <w:rFonts w:eastAsia="Calibri" w:cs="Arial"/>
          <w:sz w:val="24"/>
          <w:szCs w:val="24"/>
        </w:rPr>
        <w:t>Medicines Australia (MA)</w:t>
      </w:r>
      <w:bookmarkEnd w:id="1"/>
      <w:r w:rsidRPr="006F2C1C">
        <w:rPr>
          <w:rFonts w:eastAsia="Calibri" w:cs="Arial"/>
          <w:sz w:val="24"/>
          <w:szCs w:val="24"/>
        </w:rPr>
        <w:t>.</w:t>
      </w:r>
    </w:p>
    <w:p w14:paraId="5B046718" w14:textId="2B658E77" w:rsidR="00B80D4F" w:rsidRPr="006F2C1C" w:rsidRDefault="00B80D4F" w:rsidP="00991351">
      <w:pPr>
        <w:spacing w:after="120" w:line="240" w:lineRule="auto"/>
        <w:jc w:val="both"/>
        <w:rPr>
          <w:rFonts w:eastAsia="Calibri" w:cs="Arial"/>
          <w:sz w:val="24"/>
          <w:szCs w:val="24"/>
        </w:rPr>
      </w:pPr>
      <w:r w:rsidRPr="006F2C1C">
        <w:rPr>
          <w:rFonts w:eastAsia="Calibri" w:cs="Arial"/>
          <w:sz w:val="24"/>
          <w:szCs w:val="24"/>
        </w:rPr>
        <w:t xml:space="preserve">Under </w:t>
      </w:r>
      <w:r w:rsidR="00D93CAC">
        <w:rPr>
          <w:rFonts w:eastAsia="Calibri" w:cs="Arial"/>
          <w:sz w:val="24"/>
          <w:szCs w:val="24"/>
        </w:rPr>
        <w:t xml:space="preserve">Clause 7.5 of </w:t>
      </w:r>
      <w:r w:rsidRPr="006F2C1C">
        <w:rPr>
          <w:rFonts w:eastAsia="Calibri" w:cs="Arial"/>
          <w:sz w:val="24"/>
          <w:szCs w:val="24"/>
        </w:rPr>
        <w:t>the S</w:t>
      </w:r>
      <w:r w:rsidR="00517251">
        <w:rPr>
          <w:rFonts w:eastAsia="Calibri" w:cs="Arial"/>
          <w:sz w:val="24"/>
          <w:szCs w:val="24"/>
        </w:rPr>
        <w:t xml:space="preserve">trategic </w:t>
      </w:r>
      <w:r w:rsidR="009D1323" w:rsidRPr="006F2C1C">
        <w:rPr>
          <w:rFonts w:eastAsia="Calibri" w:cs="Arial"/>
          <w:sz w:val="24"/>
          <w:szCs w:val="24"/>
        </w:rPr>
        <w:t>A</w:t>
      </w:r>
      <w:r w:rsidR="00517251">
        <w:rPr>
          <w:rFonts w:eastAsia="Calibri" w:cs="Arial"/>
          <w:sz w:val="24"/>
          <w:szCs w:val="24"/>
        </w:rPr>
        <w:t>greement</w:t>
      </w:r>
      <w:r w:rsidRPr="006F2C1C">
        <w:rPr>
          <w:rFonts w:eastAsia="Calibri" w:cs="Arial"/>
          <w:sz w:val="24"/>
          <w:szCs w:val="24"/>
        </w:rPr>
        <w:t xml:space="preserve">, the Commonwealth and MA agreed to: </w:t>
      </w:r>
    </w:p>
    <w:p w14:paraId="52F3DF22" w14:textId="716C75B6" w:rsidR="00B80D4F" w:rsidRPr="006F2C1C" w:rsidRDefault="00B80D4F" w:rsidP="00991351">
      <w:pPr>
        <w:spacing w:after="120" w:line="240" w:lineRule="auto"/>
        <w:jc w:val="both"/>
        <w:rPr>
          <w:rFonts w:eastAsia="Calibri" w:cs="Arial"/>
          <w:sz w:val="24"/>
          <w:szCs w:val="24"/>
        </w:rPr>
      </w:pPr>
      <w:r w:rsidRPr="006F2C1C">
        <w:rPr>
          <w:rFonts w:eastAsia="Calibri" w:cs="Arial"/>
          <w:sz w:val="24"/>
          <w:szCs w:val="24"/>
        </w:rPr>
        <w:t>“</w:t>
      </w:r>
      <w:r w:rsidRPr="006F2C1C">
        <w:rPr>
          <w:rFonts w:eastAsia="Calibri" w:cs="Arial"/>
          <w:i/>
          <w:iCs/>
          <w:sz w:val="24"/>
          <w:szCs w:val="24"/>
        </w:rPr>
        <w:t xml:space="preserve">Work together with other relevant stakeholders to improve the current PMR </w:t>
      </w:r>
      <w:r w:rsidR="00517251">
        <w:rPr>
          <w:rFonts w:eastAsia="Calibri" w:cs="Arial"/>
          <w:i/>
          <w:iCs/>
          <w:sz w:val="24"/>
          <w:szCs w:val="24"/>
        </w:rPr>
        <w:t>F</w:t>
      </w:r>
      <w:r w:rsidRPr="006F2C1C">
        <w:rPr>
          <w:rFonts w:eastAsia="Calibri" w:cs="Arial"/>
          <w:i/>
          <w:iCs/>
          <w:sz w:val="24"/>
          <w:szCs w:val="24"/>
        </w:rPr>
        <w:t xml:space="preserve">ramework with the goal of reducing the timeframe from PBAC recommendation of the commencement of a Review, to completion of the Review, to a timeframe of within 12 months, subject always to the </w:t>
      </w:r>
      <w:r w:rsidR="00517251">
        <w:rPr>
          <w:rFonts w:eastAsia="Calibri" w:cs="Arial"/>
          <w:i/>
          <w:iCs/>
          <w:sz w:val="24"/>
          <w:szCs w:val="24"/>
        </w:rPr>
        <w:t>F</w:t>
      </w:r>
      <w:r w:rsidRPr="006F2C1C">
        <w:rPr>
          <w:rFonts w:eastAsia="Calibri" w:cs="Arial"/>
          <w:i/>
          <w:iCs/>
          <w:sz w:val="24"/>
          <w:szCs w:val="24"/>
        </w:rPr>
        <w:t>ramework not limiting PBAC independence</w:t>
      </w:r>
      <w:r w:rsidRPr="006F2C1C">
        <w:rPr>
          <w:rFonts w:eastAsia="Calibri" w:cs="Arial"/>
          <w:sz w:val="24"/>
          <w:szCs w:val="24"/>
        </w:rPr>
        <w:t>.”</w:t>
      </w:r>
    </w:p>
    <w:p w14:paraId="43C914D0" w14:textId="649CC2DC" w:rsidR="002E6AC5" w:rsidRDefault="00A10E55" w:rsidP="00D93CAC">
      <w:pPr>
        <w:spacing w:after="120" w:line="240" w:lineRule="auto"/>
        <w:jc w:val="both"/>
        <w:rPr>
          <w:rFonts w:eastAsia="Calibri" w:cs="Arial"/>
          <w:sz w:val="24"/>
          <w:szCs w:val="24"/>
        </w:rPr>
      </w:pPr>
      <w:r w:rsidRPr="00A10E55">
        <w:rPr>
          <w:rFonts w:eastAsia="Calibri" w:cs="Arial"/>
          <w:sz w:val="24"/>
          <w:szCs w:val="24"/>
        </w:rPr>
        <w:t xml:space="preserve">A draft revised PMR Framework was published for </w:t>
      </w:r>
      <w:hyperlink r:id="rId7" w:history="1">
        <w:r w:rsidRPr="00B70C6C">
          <w:rPr>
            <w:color w:val="0000FF"/>
            <w:sz w:val="24"/>
            <w:szCs w:val="24"/>
            <w:u w:val="single"/>
          </w:rPr>
          <w:t>public consultation</w:t>
        </w:r>
      </w:hyperlink>
      <w:r w:rsidRPr="00A10E55">
        <w:rPr>
          <w:rFonts w:eastAsia="Calibri" w:cs="Arial"/>
          <w:sz w:val="24"/>
          <w:szCs w:val="24"/>
        </w:rPr>
        <w:t xml:space="preserve"> from 20 October 2022 to 16 December 2022. </w:t>
      </w:r>
    </w:p>
    <w:p w14:paraId="636882FA" w14:textId="4DD5F418" w:rsidR="00AC64CA" w:rsidRDefault="00A10E55" w:rsidP="00D93CAC">
      <w:pPr>
        <w:spacing w:after="120" w:line="240" w:lineRule="auto"/>
        <w:jc w:val="both"/>
        <w:rPr>
          <w:rFonts w:eastAsia="Calibri" w:cs="Arial"/>
          <w:sz w:val="24"/>
          <w:szCs w:val="24"/>
        </w:rPr>
      </w:pPr>
      <w:r w:rsidRPr="00A10E55">
        <w:rPr>
          <w:rFonts w:eastAsia="Calibri" w:cs="Arial"/>
          <w:sz w:val="24"/>
          <w:szCs w:val="24"/>
        </w:rPr>
        <w:t>The final 202</w:t>
      </w:r>
      <w:r w:rsidR="003C49BA">
        <w:rPr>
          <w:rFonts w:eastAsia="Calibri" w:cs="Arial"/>
          <w:sz w:val="24"/>
          <w:szCs w:val="24"/>
        </w:rPr>
        <w:t>4</w:t>
      </w:r>
      <w:r w:rsidRPr="00A10E55">
        <w:rPr>
          <w:rFonts w:eastAsia="Calibri" w:cs="Arial"/>
          <w:sz w:val="24"/>
          <w:szCs w:val="24"/>
        </w:rPr>
        <w:t xml:space="preserve"> PMR Framework was developed by the Department of Health and Aged Care in consultation with MA and considered stakeholder comments received as part of the consultation process. The 202</w:t>
      </w:r>
      <w:r w:rsidR="003C49BA">
        <w:rPr>
          <w:rFonts w:eastAsia="Calibri" w:cs="Arial"/>
          <w:sz w:val="24"/>
          <w:szCs w:val="24"/>
        </w:rPr>
        <w:t>4</w:t>
      </w:r>
      <w:r w:rsidRPr="00A10E55">
        <w:rPr>
          <w:rFonts w:eastAsia="Calibri" w:cs="Arial"/>
          <w:sz w:val="24"/>
          <w:szCs w:val="24"/>
        </w:rPr>
        <w:t xml:space="preserve"> PMR Framework was endorsed by the PBAC </w:t>
      </w:r>
      <w:r w:rsidR="00B70C6C">
        <w:rPr>
          <w:rFonts w:eastAsia="Calibri" w:cs="Arial"/>
          <w:sz w:val="24"/>
          <w:szCs w:val="24"/>
        </w:rPr>
        <w:t xml:space="preserve">in December 2023 </w:t>
      </w:r>
      <w:r w:rsidRPr="00A10E55">
        <w:rPr>
          <w:rFonts w:eastAsia="Calibri" w:cs="Arial"/>
          <w:sz w:val="24"/>
          <w:szCs w:val="24"/>
        </w:rPr>
        <w:t xml:space="preserve">and approved by the Minister for Health and Aged Care in </w:t>
      </w:r>
      <w:r w:rsidR="00B70C6C">
        <w:rPr>
          <w:rFonts w:eastAsia="Calibri" w:cs="Arial"/>
          <w:sz w:val="24"/>
          <w:szCs w:val="24"/>
        </w:rPr>
        <w:t xml:space="preserve">January </w:t>
      </w:r>
      <w:r w:rsidR="003C49BA">
        <w:rPr>
          <w:rFonts w:eastAsia="Calibri" w:cs="Arial"/>
          <w:sz w:val="24"/>
          <w:szCs w:val="24"/>
        </w:rPr>
        <w:t>2024</w:t>
      </w:r>
      <w:r w:rsidRPr="00A10E55">
        <w:rPr>
          <w:rFonts w:eastAsia="Calibri" w:cs="Arial"/>
          <w:sz w:val="24"/>
          <w:szCs w:val="24"/>
        </w:rPr>
        <w:t xml:space="preserve">. </w:t>
      </w:r>
    </w:p>
    <w:p w14:paraId="1649BB20" w14:textId="72212B77" w:rsidR="00B80D4F" w:rsidRPr="006F2C1C" w:rsidRDefault="00B80D4F" w:rsidP="00D93CAC">
      <w:pPr>
        <w:spacing w:after="120" w:line="240" w:lineRule="auto"/>
        <w:jc w:val="both"/>
        <w:rPr>
          <w:sz w:val="24"/>
          <w:szCs w:val="24"/>
        </w:rPr>
      </w:pPr>
      <w:r w:rsidRPr="00D93CAC">
        <w:rPr>
          <w:rFonts w:eastAsia="Calibri" w:cs="Arial"/>
          <w:sz w:val="24"/>
          <w:szCs w:val="24"/>
        </w:rPr>
        <w:t xml:space="preserve">A summary of the </w:t>
      </w:r>
      <w:r w:rsidR="008A6BCE" w:rsidRPr="00D93CAC">
        <w:rPr>
          <w:rFonts w:eastAsia="Calibri" w:cs="Arial"/>
          <w:sz w:val="24"/>
          <w:szCs w:val="24"/>
        </w:rPr>
        <w:t xml:space="preserve">key </w:t>
      </w:r>
      <w:r w:rsidRPr="00D93CAC">
        <w:rPr>
          <w:rFonts w:eastAsia="Calibri" w:cs="Arial"/>
          <w:sz w:val="24"/>
          <w:szCs w:val="24"/>
        </w:rPr>
        <w:t>changes between the</w:t>
      </w:r>
      <w:r w:rsidR="008E65F3" w:rsidRPr="00D93CAC">
        <w:rPr>
          <w:rFonts w:eastAsia="Calibri" w:cs="Arial"/>
          <w:sz w:val="24"/>
          <w:szCs w:val="24"/>
        </w:rPr>
        <w:t xml:space="preserve"> </w:t>
      </w:r>
      <w:r w:rsidR="0026726B">
        <w:rPr>
          <w:rFonts w:eastAsia="Calibri" w:cs="Arial"/>
          <w:sz w:val="24"/>
          <w:szCs w:val="24"/>
        </w:rPr>
        <w:t>201</w:t>
      </w:r>
      <w:r w:rsidR="003239C1">
        <w:rPr>
          <w:rFonts w:eastAsia="Calibri" w:cs="Arial"/>
          <w:sz w:val="24"/>
          <w:szCs w:val="24"/>
        </w:rPr>
        <w:t>5</w:t>
      </w:r>
      <w:r w:rsidR="0026726B">
        <w:rPr>
          <w:rFonts w:eastAsia="Calibri" w:cs="Arial"/>
          <w:sz w:val="24"/>
          <w:szCs w:val="24"/>
        </w:rPr>
        <w:t xml:space="preserve"> PMR Framework</w:t>
      </w:r>
      <w:r w:rsidR="008E65F3" w:rsidRPr="00D93CAC">
        <w:rPr>
          <w:rFonts w:eastAsia="Calibri" w:cs="Arial"/>
          <w:sz w:val="24"/>
          <w:szCs w:val="24"/>
        </w:rPr>
        <w:t xml:space="preserve">, the </w:t>
      </w:r>
      <w:r w:rsidR="005F1F81">
        <w:rPr>
          <w:rFonts w:eastAsia="Calibri" w:cs="Arial"/>
          <w:sz w:val="24"/>
          <w:szCs w:val="24"/>
        </w:rPr>
        <w:t xml:space="preserve">revised PMR Framework </w:t>
      </w:r>
      <w:r w:rsidR="008E65F3" w:rsidRPr="00D93CAC">
        <w:rPr>
          <w:rFonts w:eastAsia="Calibri" w:cs="Arial"/>
          <w:sz w:val="24"/>
          <w:szCs w:val="24"/>
        </w:rPr>
        <w:t>consultation draft, and the</w:t>
      </w:r>
      <w:r w:rsidRPr="00D93CAC">
        <w:rPr>
          <w:rFonts w:eastAsia="Calibri" w:cs="Arial"/>
          <w:sz w:val="24"/>
          <w:szCs w:val="24"/>
        </w:rPr>
        <w:t xml:space="preserve"> </w:t>
      </w:r>
      <w:r w:rsidR="005671BA">
        <w:rPr>
          <w:rFonts w:eastAsia="Calibri" w:cs="Arial"/>
          <w:sz w:val="24"/>
          <w:szCs w:val="24"/>
        </w:rPr>
        <w:t>202</w:t>
      </w:r>
      <w:r w:rsidR="003C49BA">
        <w:rPr>
          <w:rFonts w:eastAsia="Calibri" w:cs="Arial"/>
          <w:sz w:val="24"/>
          <w:szCs w:val="24"/>
        </w:rPr>
        <w:t>4</w:t>
      </w:r>
      <w:r w:rsidR="004E6605">
        <w:rPr>
          <w:rFonts w:eastAsia="Calibri" w:cs="Arial"/>
          <w:sz w:val="24"/>
          <w:szCs w:val="24"/>
        </w:rPr>
        <w:t xml:space="preserve"> </w:t>
      </w:r>
      <w:r w:rsidRPr="00D93CAC">
        <w:rPr>
          <w:rFonts w:eastAsia="Calibri" w:cs="Arial"/>
          <w:sz w:val="24"/>
          <w:szCs w:val="24"/>
        </w:rPr>
        <w:t>PMR Framework</w:t>
      </w:r>
      <w:r w:rsidR="008E65F3" w:rsidRPr="00D93CAC">
        <w:rPr>
          <w:rFonts w:eastAsia="Calibri" w:cs="Arial"/>
          <w:sz w:val="24"/>
          <w:szCs w:val="24"/>
        </w:rPr>
        <w:t>, along with the rationale for each change</w:t>
      </w:r>
      <w:r w:rsidRPr="00D93CAC">
        <w:rPr>
          <w:rFonts w:eastAsia="Calibri" w:cs="Arial"/>
          <w:sz w:val="24"/>
          <w:szCs w:val="24"/>
        </w:rPr>
        <w:t xml:space="preserve"> is provided in</w:t>
      </w:r>
      <w:r w:rsidRPr="006F2C1C">
        <w:rPr>
          <w:sz w:val="24"/>
          <w:szCs w:val="24"/>
        </w:rPr>
        <w:t xml:space="preserve"> Table 1 below.</w:t>
      </w:r>
    </w:p>
    <w:p w14:paraId="5F788A8F" w14:textId="48847A62" w:rsidR="00B80D4F" w:rsidRDefault="00B80D4F" w:rsidP="00B80D4F">
      <w:pPr>
        <w:sectPr w:rsidR="00B80D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84A99F3" w14:textId="34AA8FAA" w:rsidR="00B80D4F" w:rsidRPr="00CE20A0" w:rsidRDefault="00B80D4F" w:rsidP="006F2C1C">
      <w:pPr>
        <w:spacing w:after="60" w:line="240" w:lineRule="auto"/>
        <w:jc w:val="both"/>
        <w:rPr>
          <w:b/>
          <w:bCs/>
        </w:rPr>
      </w:pPr>
      <w:r w:rsidRPr="00CE20A0">
        <w:rPr>
          <w:b/>
          <w:bCs/>
        </w:rPr>
        <w:lastRenderedPageBreak/>
        <w:t xml:space="preserve">Table 1: Summary of </w:t>
      </w:r>
      <w:r w:rsidR="008A6BCE">
        <w:rPr>
          <w:b/>
          <w:bCs/>
        </w:rPr>
        <w:t xml:space="preserve">key </w:t>
      </w:r>
      <w:r w:rsidR="008E65F3">
        <w:rPr>
          <w:b/>
          <w:bCs/>
        </w:rPr>
        <w:t>changes</w:t>
      </w:r>
      <w:r w:rsidRPr="00CE20A0">
        <w:rPr>
          <w:b/>
          <w:bCs/>
        </w:rPr>
        <w:t xml:space="preserve"> between the </w:t>
      </w:r>
      <w:r w:rsidR="00DE4C33">
        <w:rPr>
          <w:b/>
          <w:bCs/>
        </w:rPr>
        <w:t>201</w:t>
      </w:r>
      <w:r w:rsidR="003239C1">
        <w:rPr>
          <w:b/>
          <w:bCs/>
        </w:rPr>
        <w:t>5</w:t>
      </w:r>
      <w:r w:rsidR="00DE4C33">
        <w:rPr>
          <w:b/>
          <w:bCs/>
        </w:rPr>
        <w:t xml:space="preserve"> PMR Framework</w:t>
      </w:r>
      <w:r w:rsidRPr="00CE20A0">
        <w:rPr>
          <w:b/>
          <w:bCs/>
        </w:rPr>
        <w:t xml:space="preserve">, </w:t>
      </w:r>
      <w:r w:rsidR="005342DA">
        <w:rPr>
          <w:b/>
          <w:bCs/>
        </w:rPr>
        <w:t xml:space="preserve">the revised </w:t>
      </w:r>
      <w:r w:rsidR="00356DDF">
        <w:rPr>
          <w:b/>
          <w:bCs/>
        </w:rPr>
        <w:t xml:space="preserve">PMR Framework </w:t>
      </w:r>
      <w:r w:rsidR="008E65F3">
        <w:rPr>
          <w:b/>
          <w:bCs/>
        </w:rPr>
        <w:t xml:space="preserve">consultation draft, </w:t>
      </w:r>
      <w:r w:rsidR="009066EF">
        <w:rPr>
          <w:b/>
          <w:bCs/>
        </w:rPr>
        <w:t xml:space="preserve">and </w:t>
      </w:r>
      <w:r w:rsidR="009066EF" w:rsidRPr="00CE20A0">
        <w:rPr>
          <w:b/>
          <w:bCs/>
        </w:rPr>
        <w:t>the</w:t>
      </w:r>
      <w:r w:rsidR="00356DDF">
        <w:rPr>
          <w:b/>
          <w:bCs/>
        </w:rPr>
        <w:t xml:space="preserve"> 202</w:t>
      </w:r>
      <w:r w:rsidR="003C49BA">
        <w:rPr>
          <w:b/>
          <w:bCs/>
        </w:rPr>
        <w:t>4</w:t>
      </w:r>
      <w:r w:rsidR="00356DDF">
        <w:rPr>
          <w:b/>
          <w:bCs/>
        </w:rPr>
        <w:t xml:space="preserve"> </w:t>
      </w:r>
      <w:r w:rsidRPr="00CE20A0">
        <w:rPr>
          <w:b/>
          <w:bCs/>
        </w:rPr>
        <w:t>PMR Framework</w:t>
      </w:r>
    </w:p>
    <w:tbl>
      <w:tblPr>
        <w:tblStyle w:val="TableGrid"/>
        <w:tblW w:w="0" w:type="auto"/>
        <w:tblLook w:val="04A0" w:firstRow="1" w:lastRow="0" w:firstColumn="1" w:lastColumn="0" w:noHBand="0" w:noVBand="1"/>
      </w:tblPr>
      <w:tblGrid>
        <w:gridCol w:w="2344"/>
        <w:gridCol w:w="2330"/>
        <w:gridCol w:w="2267"/>
        <w:gridCol w:w="2552"/>
        <w:gridCol w:w="4455"/>
      </w:tblGrid>
      <w:tr w:rsidR="0080174C" w:rsidRPr="00CE20A0" w14:paraId="751E53ED" w14:textId="56F329CB" w:rsidTr="00195BB5">
        <w:trPr>
          <w:tblHeader/>
        </w:trPr>
        <w:tc>
          <w:tcPr>
            <w:tcW w:w="0" w:type="auto"/>
            <w:shd w:val="clear" w:color="auto" w:fill="F2F2F2" w:themeFill="background1" w:themeFillShade="F2"/>
          </w:tcPr>
          <w:p w14:paraId="2100C4F6" w14:textId="77777777" w:rsidR="00374BF3" w:rsidRPr="00CE20A0" w:rsidRDefault="00374BF3" w:rsidP="00BF6B97">
            <w:pPr>
              <w:rPr>
                <w:b/>
                <w:bCs/>
              </w:rPr>
            </w:pPr>
            <w:r w:rsidRPr="00CE20A0">
              <w:rPr>
                <w:b/>
                <w:bCs/>
              </w:rPr>
              <w:t>Change</w:t>
            </w:r>
          </w:p>
        </w:tc>
        <w:tc>
          <w:tcPr>
            <w:tcW w:w="2330" w:type="dxa"/>
            <w:shd w:val="clear" w:color="auto" w:fill="F2F2F2" w:themeFill="background1" w:themeFillShade="F2"/>
          </w:tcPr>
          <w:p w14:paraId="3590E85C" w14:textId="1A67827B" w:rsidR="00374BF3" w:rsidRPr="00CE20A0" w:rsidRDefault="004454C6" w:rsidP="00BF6B97">
            <w:pPr>
              <w:rPr>
                <w:b/>
                <w:bCs/>
              </w:rPr>
            </w:pPr>
            <w:r>
              <w:rPr>
                <w:b/>
                <w:bCs/>
              </w:rPr>
              <w:t>201</w:t>
            </w:r>
            <w:r w:rsidR="003239C1">
              <w:rPr>
                <w:b/>
                <w:bCs/>
              </w:rPr>
              <w:t>5</w:t>
            </w:r>
            <w:r w:rsidR="004E6605">
              <w:rPr>
                <w:b/>
                <w:bCs/>
              </w:rPr>
              <w:t xml:space="preserve"> </w:t>
            </w:r>
            <w:r w:rsidR="00374BF3">
              <w:rPr>
                <w:b/>
                <w:bCs/>
              </w:rPr>
              <w:t xml:space="preserve">PMR </w:t>
            </w:r>
            <w:r w:rsidR="00374BF3" w:rsidRPr="00CE20A0">
              <w:rPr>
                <w:b/>
                <w:bCs/>
              </w:rPr>
              <w:t>Framework</w:t>
            </w:r>
          </w:p>
        </w:tc>
        <w:tc>
          <w:tcPr>
            <w:tcW w:w="2267" w:type="dxa"/>
            <w:shd w:val="clear" w:color="auto" w:fill="F2F2F2" w:themeFill="background1" w:themeFillShade="F2"/>
          </w:tcPr>
          <w:p w14:paraId="132EE6D8" w14:textId="1005708B" w:rsidR="00374BF3" w:rsidRPr="00CE20A0" w:rsidRDefault="000D5D8A" w:rsidP="00BF6B97">
            <w:pPr>
              <w:rPr>
                <w:b/>
                <w:bCs/>
              </w:rPr>
            </w:pPr>
            <w:r>
              <w:rPr>
                <w:b/>
                <w:bCs/>
              </w:rPr>
              <w:t>Revised PMR Framework -c</w:t>
            </w:r>
            <w:r w:rsidR="008E65F3">
              <w:rPr>
                <w:b/>
                <w:bCs/>
              </w:rPr>
              <w:t>onsultation draft</w:t>
            </w:r>
          </w:p>
        </w:tc>
        <w:tc>
          <w:tcPr>
            <w:tcW w:w="2552" w:type="dxa"/>
            <w:shd w:val="clear" w:color="auto" w:fill="F2F2F2" w:themeFill="background1" w:themeFillShade="F2"/>
          </w:tcPr>
          <w:p w14:paraId="095AA2A5" w14:textId="1CD9C489" w:rsidR="00374BF3" w:rsidRPr="00CE20A0" w:rsidRDefault="000D5D8A" w:rsidP="00BF6B97">
            <w:pPr>
              <w:rPr>
                <w:b/>
                <w:bCs/>
              </w:rPr>
            </w:pPr>
            <w:r>
              <w:rPr>
                <w:b/>
                <w:bCs/>
              </w:rPr>
              <w:t>202</w:t>
            </w:r>
            <w:r w:rsidR="003C49BA">
              <w:rPr>
                <w:b/>
                <w:bCs/>
              </w:rPr>
              <w:t>4</w:t>
            </w:r>
            <w:r w:rsidR="00374BF3" w:rsidRPr="00CE20A0">
              <w:rPr>
                <w:b/>
                <w:bCs/>
              </w:rPr>
              <w:t xml:space="preserve"> </w:t>
            </w:r>
            <w:r w:rsidR="00374BF3">
              <w:rPr>
                <w:b/>
                <w:bCs/>
              </w:rPr>
              <w:t xml:space="preserve">PMR </w:t>
            </w:r>
            <w:r w:rsidR="00374BF3" w:rsidRPr="00CE20A0">
              <w:rPr>
                <w:b/>
                <w:bCs/>
              </w:rPr>
              <w:t>Framework</w:t>
            </w:r>
            <w:r w:rsidR="00374BF3">
              <w:rPr>
                <w:b/>
                <w:bCs/>
              </w:rPr>
              <w:t xml:space="preserve"> </w:t>
            </w:r>
          </w:p>
        </w:tc>
        <w:tc>
          <w:tcPr>
            <w:tcW w:w="4455" w:type="dxa"/>
            <w:shd w:val="clear" w:color="auto" w:fill="F2F2F2" w:themeFill="background1" w:themeFillShade="F2"/>
          </w:tcPr>
          <w:p w14:paraId="499744E2" w14:textId="73482239" w:rsidR="00374BF3" w:rsidRPr="00CE20A0" w:rsidRDefault="00374BF3" w:rsidP="00BF6B97">
            <w:pPr>
              <w:rPr>
                <w:b/>
                <w:bCs/>
              </w:rPr>
            </w:pPr>
            <w:r>
              <w:rPr>
                <w:b/>
                <w:bCs/>
              </w:rPr>
              <w:t xml:space="preserve">Rationale </w:t>
            </w:r>
            <w:r w:rsidR="008E65F3">
              <w:rPr>
                <w:b/>
                <w:bCs/>
              </w:rPr>
              <w:t xml:space="preserve">for </w:t>
            </w:r>
            <w:r>
              <w:rPr>
                <w:b/>
                <w:bCs/>
              </w:rPr>
              <w:t>change</w:t>
            </w:r>
          </w:p>
        </w:tc>
      </w:tr>
      <w:tr w:rsidR="0080174C" w:rsidRPr="00CE20A0" w14:paraId="659022DB" w14:textId="4B3A80C5" w:rsidTr="00195BB5">
        <w:tc>
          <w:tcPr>
            <w:tcW w:w="0" w:type="auto"/>
          </w:tcPr>
          <w:p w14:paraId="2786AFF3" w14:textId="77777777" w:rsidR="00374BF3" w:rsidRPr="00CE20A0" w:rsidRDefault="00374BF3" w:rsidP="00BF6B97">
            <w:pPr>
              <w:rPr>
                <w:b/>
                <w:bCs/>
              </w:rPr>
            </w:pPr>
            <w:r w:rsidRPr="00CE20A0">
              <w:rPr>
                <w:b/>
                <w:bCs/>
              </w:rPr>
              <w:t xml:space="preserve">Publication of PMR workplan </w:t>
            </w:r>
          </w:p>
        </w:tc>
        <w:tc>
          <w:tcPr>
            <w:tcW w:w="2330" w:type="dxa"/>
          </w:tcPr>
          <w:p w14:paraId="7518B2B3" w14:textId="77777777" w:rsidR="00374BF3" w:rsidRPr="00CE20A0" w:rsidRDefault="00374BF3" w:rsidP="00BF6B97">
            <w:r w:rsidRPr="00CE20A0">
              <w:t>Not published</w:t>
            </w:r>
          </w:p>
        </w:tc>
        <w:tc>
          <w:tcPr>
            <w:tcW w:w="2267" w:type="dxa"/>
          </w:tcPr>
          <w:p w14:paraId="4F8C6A6C" w14:textId="77777777" w:rsidR="00374BF3" w:rsidRPr="00CE20A0" w:rsidRDefault="00374BF3" w:rsidP="00BF6B97">
            <w:r w:rsidRPr="00CE20A0">
              <w:t>Not published</w:t>
            </w:r>
          </w:p>
        </w:tc>
        <w:tc>
          <w:tcPr>
            <w:tcW w:w="2552" w:type="dxa"/>
          </w:tcPr>
          <w:p w14:paraId="58DB9291" w14:textId="6A938242" w:rsidR="00374BF3" w:rsidRDefault="00374BF3" w:rsidP="00BF6B97">
            <w:pPr>
              <w:rPr>
                <w:i/>
                <w:iCs/>
              </w:rPr>
            </w:pPr>
            <w:r w:rsidRPr="00CE20A0">
              <w:t xml:space="preserve">Published on </w:t>
            </w:r>
            <w:r w:rsidR="008E65F3">
              <w:t xml:space="preserve">the </w:t>
            </w:r>
            <w:r w:rsidRPr="00CE20A0">
              <w:t>PBS website following consideration by the PBAC</w:t>
            </w:r>
            <w:r>
              <w:t xml:space="preserve"> (1-2</w:t>
            </w:r>
            <w:r w:rsidR="00D93CAC">
              <w:t> </w:t>
            </w:r>
            <w:r w:rsidR="008E65F3">
              <w:t xml:space="preserve">times </w:t>
            </w:r>
            <w:r>
              <w:t xml:space="preserve">per year) </w:t>
            </w:r>
          </w:p>
          <w:p w14:paraId="7A929CA3" w14:textId="3F516ED2" w:rsidR="00374BF3" w:rsidRPr="006350C0" w:rsidRDefault="00374BF3" w:rsidP="00BF6B97">
            <w:pPr>
              <w:rPr>
                <w:i/>
                <w:iCs/>
              </w:rPr>
            </w:pPr>
          </w:p>
        </w:tc>
        <w:tc>
          <w:tcPr>
            <w:tcW w:w="4455" w:type="dxa"/>
          </w:tcPr>
          <w:p w14:paraId="4B2B9ADD" w14:textId="3E954DBD" w:rsidR="008E65F3" w:rsidRDefault="008E65F3" w:rsidP="0080174C">
            <w:pPr>
              <w:spacing w:after="120"/>
            </w:pPr>
            <w:r>
              <w:t xml:space="preserve">In response to </w:t>
            </w:r>
            <w:r w:rsidR="00D93CAC">
              <w:t>feedback</w:t>
            </w:r>
            <w:r>
              <w:t xml:space="preserve"> </w:t>
            </w:r>
            <w:r w:rsidR="00374BF3" w:rsidRPr="00374BF3">
              <w:t xml:space="preserve">that there would be benefit in publishing the PMR workplan to provide </w:t>
            </w:r>
            <w:r w:rsidR="00D93CAC">
              <w:t>stakeholders</w:t>
            </w:r>
            <w:r w:rsidR="00374BF3" w:rsidRPr="00374BF3">
              <w:t xml:space="preserve"> with early notice </w:t>
            </w:r>
            <w:r w:rsidR="00374BF3">
              <w:t xml:space="preserve">of </w:t>
            </w:r>
            <w:r w:rsidR="00374BF3" w:rsidRPr="00374BF3">
              <w:t xml:space="preserve">topics that could potentially progress to a PMR. </w:t>
            </w:r>
          </w:p>
          <w:p w14:paraId="1E6AEA46" w14:textId="282A85F5" w:rsidR="00517251" w:rsidRPr="00CE20A0" w:rsidRDefault="00517251" w:rsidP="00BF6B97">
            <w:r w:rsidRPr="00517251">
              <w:t>The published workplan would include any new PMR topics recommended by the PBAC as well as the status of ongoing projects within the scope of the PMR Framework.</w:t>
            </w:r>
          </w:p>
        </w:tc>
      </w:tr>
      <w:tr w:rsidR="0080174C" w:rsidRPr="00CE20A0" w14:paraId="511DD6CB" w14:textId="06AA37B4" w:rsidTr="00195BB5">
        <w:tc>
          <w:tcPr>
            <w:tcW w:w="0" w:type="auto"/>
          </w:tcPr>
          <w:p w14:paraId="65961F52" w14:textId="2B769E95" w:rsidR="00374BF3" w:rsidRPr="00CE20A0" w:rsidRDefault="006F2C1C" w:rsidP="00BF6B97">
            <w:pPr>
              <w:rPr>
                <w:b/>
                <w:bCs/>
              </w:rPr>
            </w:pPr>
            <w:r>
              <w:rPr>
                <w:b/>
                <w:bCs/>
              </w:rPr>
              <w:t>Two</w:t>
            </w:r>
            <w:r w:rsidR="00374BF3" w:rsidRPr="00CE20A0">
              <w:rPr>
                <w:b/>
                <w:bCs/>
              </w:rPr>
              <w:t>-week public consultation on</w:t>
            </w:r>
            <w:r w:rsidR="00517251">
              <w:rPr>
                <w:b/>
                <w:bCs/>
              </w:rPr>
              <w:t xml:space="preserve"> the</w:t>
            </w:r>
            <w:r w:rsidR="00374BF3" w:rsidRPr="00CE20A0">
              <w:rPr>
                <w:b/>
                <w:bCs/>
              </w:rPr>
              <w:t xml:space="preserve"> PBAC</w:t>
            </w:r>
            <w:r w:rsidR="00374BF3">
              <w:rPr>
                <w:b/>
                <w:bCs/>
              </w:rPr>
              <w:t>-</w:t>
            </w:r>
            <w:r w:rsidR="00374BF3" w:rsidRPr="00CE20A0">
              <w:rPr>
                <w:b/>
                <w:bCs/>
              </w:rPr>
              <w:t>recommended PMR topic</w:t>
            </w:r>
          </w:p>
        </w:tc>
        <w:tc>
          <w:tcPr>
            <w:tcW w:w="2330" w:type="dxa"/>
          </w:tcPr>
          <w:p w14:paraId="4B3C7EFB" w14:textId="7EE89B3C" w:rsidR="00374BF3" w:rsidRPr="00CE20A0" w:rsidRDefault="00374BF3" w:rsidP="00BF6B97">
            <w:r>
              <w:t>Not included</w:t>
            </w:r>
            <w:r w:rsidR="008E65F3">
              <w:t>, a</w:t>
            </w:r>
            <w:r>
              <w:t xml:space="preserve">llows </w:t>
            </w:r>
            <w:r w:rsidR="00991351">
              <w:t>two</w:t>
            </w:r>
            <w:r>
              <w:t>-week minimum public consultation on draft T</w:t>
            </w:r>
            <w:r w:rsidR="00517251">
              <w:t xml:space="preserve">erms </w:t>
            </w:r>
            <w:r>
              <w:t>o</w:t>
            </w:r>
            <w:r w:rsidR="00517251">
              <w:t>f Reference (ToRs)</w:t>
            </w:r>
          </w:p>
        </w:tc>
        <w:tc>
          <w:tcPr>
            <w:tcW w:w="2267" w:type="dxa"/>
          </w:tcPr>
          <w:p w14:paraId="6AE03620" w14:textId="74153E59" w:rsidR="00374BF3" w:rsidRPr="00CE20A0" w:rsidRDefault="00374BF3" w:rsidP="00BF6B97">
            <w:r>
              <w:t>Not included</w:t>
            </w:r>
            <w:r w:rsidR="008E65F3">
              <w:t xml:space="preserve"> and n</w:t>
            </w:r>
            <w:r>
              <w:t>o public consultation on</w:t>
            </w:r>
            <w:r w:rsidR="008E65F3">
              <w:t xml:space="preserve"> the</w:t>
            </w:r>
            <w:r>
              <w:t xml:space="preserve"> draft ToRs</w:t>
            </w:r>
          </w:p>
        </w:tc>
        <w:tc>
          <w:tcPr>
            <w:tcW w:w="2552" w:type="dxa"/>
          </w:tcPr>
          <w:p w14:paraId="36896CC0" w14:textId="6D9776AB" w:rsidR="00374BF3" w:rsidRPr="00CE20A0" w:rsidRDefault="00374BF3" w:rsidP="00BF6B97">
            <w:r>
              <w:t>Included</w:t>
            </w:r>
          </w:p>
        </w:tc>
        <w:tc>
          <w:tcPr>
            <w:tcW w:w="4455" w:type="dxa"/>
          </w:tcPr>
          <w:p w14:paraId="2659B679" w14:textId="0F76C018" w:rsidR="0080174C" w:rsidRDefault="008E65F3" w:rsidP="0080174C">
            <w:pPr>
              <w:spacing w:after="120"/>
            </w:pPr>
            <w:r w:rsidRPr="008E65F3">
              <w:t xml:space="preserve">In response to </w:t>
            </w:r>
            <w:r w:rsidR="00D93CAC">
              <w:t>feedback</w:t>
            </w:r>
            <w:r w:rsidRPr="008E65F3">
              <w:t xml:space="preserve"> that </w:t>
            </w:r>
            <w:r w:rsidR="00D93CAC">
              <w:t>stakeholders</w:t>
            </w:r>
            <w:r w:rsidRPr="008E65F3">
              <w:t xml:space="preserve"> would welcome an earlier opportunity to provide input into PMR topics, a new </w:t>
            </w:r>
            <w:r w:rsidR="00991351">
              <w:t>two</w:t>
            </w:r>
            <w:r w:rsidR="00D93CAC">
              <w:noBreakHyphen/>
            </w:r>
            <w:r w:rsidRPr="008E65F3">
              <w:t xml:space="preserve">week consultation process has been included in the </w:t>
            </w:r>
            <w:r w:rsidR="00200A36">
              <w:t>202</w:t>
            </w:r>
            <w:r w:rsidR="003C49BA">
              <w:t>4</w:t>
            </w:r>
            <w:r w:rsidRPr="008E65F3">
              <w:t xml:space="preserve"> PMR Framework following the PBAC’s recommendation of a new PMR topic. </w:t>
            </w:r>
          </w:p>
          <w:p w14:paraId="1C746BAC" w14:textId="2613881B" w:rsidR="00991351" w:rsidRDefault="00991351" w:rsidP="0080174C">
            <w:pPr>
              <w:spacing w:after="120"/>
            </w:pPr>
            <w:r>
              <w:t>T</w:t>
            </w:r>
            <w:r w:rsidRPr="008E65F3">
              <w:t>his</w:t>
            </w:r>
            <w:r>
              <w:t xml:space="preserve"> </w:t>
            </w:r>
            <w:r w:rsidRPr="008E65F3">
              <w:t xml:space="preserve">consultation process will replace the </w:t>
            </w:r>
            <w:r w:rsidR="009D2528">
              <w:t>two</w:t>
            </w:r>
            <w:r w:rsidR="00D93CAC">
              <w:noBreakHyphen/>
            </w:r>
            <w:r w:rsidR="009D2528">
              <w:t>week</w:t>
            </w:r>
            <w:r w:rsidRPr="008E65F3">
              <w:t xml:space="preserve"> consultation process on the draft ToRs in the </w:t>
            </w:r>
            <w:r w:rsidR="00B55630">
              <w:t xml:space="preserve">2015 </w:t>
            </w:r>
            <w:r w:rsidRPr="008E65F3">
              <w:t>PMR Framework.</w:t>
            </w:r>
          </w:p>
          <w:p w14:paraId="4B27B7AD" w14:textId="6FB879E3" w:rsidR="008E65F3" w:rsidRDefault="0080174C" w:rsidP="00BF6B97">
            <w:r w:rsidRPr="0080174C">
              <w:t xml:space="preserve">Analysis of PMRs undertaken to date has shown that </w:t>
            </w:r>
            <w:r>
              <w:t>public consultation on the draft ToRs</w:t>
            </w:r>
            <w:r w:rsidRPr="0080174C">
              <w:t xml:space="preserve"> has </w:t>
            </w:r>
            <w:r w:rsidR="00D93CAC">
              <w:t>not made a</w:t>
            </w:r>
            <w:r w:rsidRPr="0080174C">
              <w:t xml:space="preserve"> material difference to the wording of the final ToRs for PMRs</w:t>
            </w:r>
            <w:r w:rsidR="006F2C1C" w:rsidRPr="0080174C">
              <w:t xml:space="preserve">. </w:t>
            </w:r>
          </w:p>
        </w:tc>
      </w:tr>
      <w:tr w:rsidR="0080174C" w:rsidRPr="00CE20A0" w14:paraId="630C35FF" w14:textId="4DBE4608" w:rsidTr="00195BB5">
        <w:tc>
          <w:tcPr>
            <w:tcW w:w="0" w:type="auto"/>
          </w:tcPr>
          <w:p w14:paraId="00C609CF" w14:textId="5E50410F" w:rsidR="00374BF3" w:rsidRPr="00CE20A0" w:rsidRDefault="00374BF3" w:rsidP="00BF6B97">
            <w:pPr>
              <w:rPr>
                <w:b/>
                <w:bCs/>
              </w:rPr>
            </w:pPr>
            <w:r w:rsidRPr="00CE20A0">
              <w:rPr>
                <w:b/>
                <w:bCs/>
              </w:rPr>
              <w:t>Public consultation period on</w:t>
            </w:r>
            <w:r>
              <w:rPr>
                <w:b/>
                <w:bCs/>
              </w:rPr>
              <w:t xml:space="preserve"> the</w:t>
            </w:r>
            <w:r w:rsidRPr="00CE20A0">
              <w:rPr>
                <w:b/>
                <w:bCs/>
              </w:rPr>
              <w:t xml:space="preserve"> draft PMR report</w:t>
            </w:r>
          </w:p>
        </w:tc>
        <w:tc>
          <w:tcPr>
            <w:tcW w:w="2330" w:type="dxa"/>
          </w:tcPr>
          <w:p w14:paraId="4872F86E" w14:textId="7D56DEED" w:rsidR="00374BF3" w:rsidRPr="00CE20A0" w:rsidRDefault="006F2C1C" w:rsidP="00BF6B97">
            <w:r>
              <w:t>Two</w:t>
            </w:r>
            <w:r w:rsidR="00374BF3">
              <w:t xml:space="preserve"> weeks minimum</w:t>
            </w:r>
          </w:p>
        </w:tc>
        <w:tc>
          <w:tcPr>
            <w:tcW w:w="2267" w:type="dxa"/>
          </w:tcPr>
          <w:p w14:paraId="7DB17092" w14:textId="7875C774" w:rsidR="00374BF3" w:rsidRPr="00CE20A0" w:rsidRDefault="006F2C1C" w:rsidP="00BF6B97">
            <w:r>
              <w:t>Two</w:t>
            </w:r>
            <w:r w:rsidR="00374BF3">
              <w:t xml:space="preserve"> weeks minimum (</w:t>
            </w:r>
            <w:r>
              <w:t>four</w:t>
            </w:r>
            <w:r w:rsidR="00374BF3">
              <w:t xml:space="preserve"> weeks if Review </w:t>
            </w:r>
            <w:r w:rsidR="00517251">
              <w:t>Reference Group [</w:t>
            </w:r>
            <w:r w:rsidR="00374BF3">
              <w:t>RG</w:t>
            </w:r>
            <w:r w:rsidR="00517251">
              <w:t>]</w:t>
            </w:r>
            <w:r w:rsidR="00374BF3">
              <w:t xml:space="preserve"> not formed)</w:t>
            </w:r>
          </w:p>
        </w:tc>
        <w:tc>
          <w:tcPr>
            <w:tcW w:w="2552" w:type="dxa"/>
          </w:tcPr>
          <w:p w14:paraId="1B3889D3" w14:textId="5C65C897" w:rsidR="00374BF3" w:rsidRPr="00CE20A0" w:rsidRDefault="006F2C1C" w:rsidP="00BF6B97">
            <w:r>
              <w:t>Four</w:t>
            </w:r>
            <w:r w:rsidR="00374BF3">
              <w:t xml:space="preserve"> weeks minimum</w:t>
            </w:r>
          </w:p>
        </w:tc>
        <w:tc>
          <w:tcPr>
            <w:tcW w:w="4455" w:type="dxa"/>
          </w:tcPr>
          <w:p w14:paraId="1791871C" w14:textId="6CFAA6BE" w:rsidR="00374BF3" w:rsidRDefault="00374BF3" w:rsidP="00BF6B97">
            <w:r>
              <w:t xml:space="preserve">Based on </w:t>
            </w:r>
            <w:r w:rsidR="00D93CAC">
              <w:t>feedback</w:t>
            </w:r>
            <w:r>
              <w:t xml:space="preserve"> that the</w:t>
            </w:r>
            <w:r w:rsidRPr="00374BF3">
              <w:t xml:space="preserve"> </w:t>
            </w:r>
            <w:r w:rsidR="00991351">
              <w:t xml:space="preserve">current </w:t>
            </w:r>
            <w:r w:rsidRPr="00374BF3">
              <w:t>minimum consultation period</w:t>
            </w:r>
            <w:r>
              <w:t xml:space="preserve"> on the draft </w:t>
            </w:r>
            <w:r w:rsidR="00991351">
              <w:t xml:space="preserve">PMR </w:t>
            </w:r>
            <w:r>
              <w:t>report</w:t>
            </w:r>
            <w:r w:rsidRPr="00374BF3">
              <w:t xml:space="preserve"> is too </w:t>
            </w:r>
            <w:r w:rsidR="00991351">
              <w:t xml:space="preserve">brief </w:t>
            </w:r>
            <w:r w:rsidRPr="00374BF3">
              <w:t>for many organisations and consumers</w:t>
            </w:r>
            <w:r>
              <w:t>.</w:t>
            </w:r>
          </w:p>
        </w:tc>
      </w:tr>
      <w:tr w:rsidR="0080174C" w:rsidRPr="00CE20A0" w14:paraId="0E8B4803" w14:textId="44F90DB8" w:rsidTr="00195BB5">
        <w:tc>
          <w:tcPr>
            <w:tcW w:w="0" w:type="auto"/>
          </w:tcPr>
          <w:p w14:paraId="66806960" w14:textId="77777777" w:rsidR="00374BF3" w:rsidRPr="00CE20A0" w:rsidRDefault="00374BF3" w:rsidP="00BF6B97">
            <w:pPr>
              <w:rPr>
                <w:b/>
                <w:bCs/>
              </w:rPr>
            </w:pPr>
            <w:r w:rsidRPr="00CE20A0">
              <w:rPr>
                <w:b/>
                <w:bCs/>
              </w:rPr>
              <w:lastRenderedPageBreak/>
              <w:t>Review ToRs standardised</w:t>
            </w:r>
          </w:p>
        </w:tc>
        <w:tc>
          <w:tcPr>
            <w:tcW w:w="2330" w:type="dxa"/>
          </w:tcPr>
          <w:p w14:paraId="513A755E" w14:textId="01B675DF" w:rsidR="00991351" w:rsidRDefault="00374BF3" w:rsidP="00BF6B97">
            <w:r>
              <w:t>Not standardised</w:t>
            </w:r>
          </w:p>
          <w:p w14:paraId="67577DBC" w14:textId="1E1534E0" w:rsidR="00374BF3" w:rsidRPr="00CE20A0" w:rsidRDefault="00374BF3" w:rsidP="00BF6B97"/>
        </w:tc>
        <w:tc>
          <w:tcPr>
            <w:tcW w:w="2267" w:type="dxa"/>
          </w:tcPr>
          <w:p w14:paraId="47E5238D" w14:textId="5AEA1ECE" w:rsidR="00991351" w:rsidRDefault="008E65F3" w:rsidP="00BF6B97">
            <w:r>
              <w:t>Not standardised</w:t>
            </w:r>
            <w:r w:rsidR="00517251">
              <w:t>,</w:t>
            </w:r>
          </w:p>
          <w:p w14:paraId="227F8AC9" w14:textId="3C984163" w:rsidR="00374BF3" w:rsidRPr="00CE20A0" w:rsidRDefault="00374BF3" w:rsidP="00BF6B97">
            <w:r>
              <w:t>ToRs developed by the Department and approved by th</w:t>
            </w:r>
            <w:r w:rsidR="00517251">
              <w:t xml:space="preserve">e </w:t>
            </w:r>
            <w:r>
              <w:t>PBAC</w:t>
            </w:r>
          </w:p>
        </w:tc>
        <w:tc>
          <w:tcPr>
            <w:tcW w:w="2552" w:type="dxa"/>
          </w:tcPr>
          <w:p w14:paraId="11FC13AB" w14:textId="77777777" w:rsidR="00374BF3" w:rsidRPr="00CE20A0" w:rsidRDefault="00374BF3" w:rsidP="00BF6B97">
            <w:r>
              <w:t>ToRs standardised</w:t>
            </w:r>
          </w:p>
        </w:tc>
        <w:tc>
          <w:tcPr>
            <w:tcW w:w="4455" w:type="dxa"/>
          </w:tcPr>
          <w:p w14:paraId="55A802E6" w14:textId="16FB5EE4" w:rsidR="006F2C1C" w:rsidRDefault="00374BF3" w:rsidP="006F2C1C">
            <w:pPr>
              <w:spacing w:after="120"/>
            </w:pPr>
            <w:r>
              <w:t xml:space="preserve">Most PMRs have included the same </w:t>
            </w:r>
            <w:r w:rsidR="009D2528">
              <w:t>ToRs,</w:t>
            </w:r>
            <w:r>
              <w:t xml:space="preserve"> i.e., ToR 1 (review of clinical guidelines), ToR 2 (utilisation review), ToR 3 (literature review of efficacy and safety) and ToR 4 (cost</w:t>
            </w:r>
            <w:r w:rsidR="00D93CAC">
              <w:noBreakHyphen/>
            </w:r>
            <w:r>
              <w:t xml:space="preserve">effectiveness review, if requested by the PBAC and based on the findings from the previous </w:t>
            </w:r>
            <w:r w:rsidR="008E65F3">
              <w:t>three</w:t>
            </w:r>
            <w:r>
              <w:t xml:space="preserve"> ToRs). </w:t>
            </w:r>
          </w:p>
          <w:p w14:paraId="21902FCD" w14:textId="7CD0F19B" w:rsidR="00374BF3" w:rsidRDefault="00374BF3" w:rsidP="00BF6B97">
            <w:r>
              <w:t>Standardising the ToRs will negate the need for approval of the ToRs by the full PBAC committee</w:t>
            </w:r>
            <w:r w:rsidR="008E65F3">
              <w:t xml:space="preserve"> and the need for public consultation on the draft ToRs, thus streamlining and expediting the PMR process.</w:t>
            </w:r>
          </w:p>
        </w:tc>
      </w:tr>
      <w:tr w:rsidR="0080174C" w:rsidRPr="00CE20A0" w14:paraId="5FC858E7" w14:textId="33868ACA" w:rsidTr="00195BB5">
        <w:tc>
          <w:tcPr>
            <w:tcW w:w="0" w:type="auto"/>
          </w:tcPr>
          <w:p w14:paraId="6056A677" w14:textId="0F31E20D" w:rsidR="00991351" w:rsidRPr="006F2C1C" w:rsidRDefault="00374BF3" w:rsidP="00991351">
            <w:pPr>
              <w:rPr>
                <w:b/>
                <w:bCs/>
              </w:rPr>
            </w:pPr>
            <w:r w:rsidRPr="006F2C1C">
              <w:rPr>
                <w:b/>
                <w:bCs/>
              </w:rPr>
              <w:t xml:space="preserve">New standard ToR 5 to understand the patient experience with the medicine(s) of interest </w:t>
            </w:r>
            <w:r w:rsidR="00991351" w:rsidRPr="006F2C1C">
              <w:rPr>
                <w:b/>
                <w:bCs/>
              </w:rPr>
              <w:t xml:space="preserve">from the perspective </w:t>
            </w:r>
            <w:r w:rsidR="009D2528" w:rsidRPr="006F2C1C">
              <w:rPr>
                <w:b/>
                <w:bCs/>
              </w:rPr>
              <w:t>of consumers</w:t>
            </w:r>
            <w:r w:rsidR="00991351" w:rsidRPr="006F2C1C">
              <w:rPr>
                <w:b/>
                <w:bCs/>
              </w:rPr>
              <w:t xml:space="preserve">, with a particular focus on </w:t>
            </w:r>
            <w:r w:rsidR="009659DC">
              <w:rPr>
                <w:b/>
                <w:bCs/>
              </w:rPr>
              <w:t>considerations</w:t>
            </w:r>
            <w:r w:rsidR="00991351" w:rsidRPr="006F2C1C">
              <w:rPr>
                <w:b/>
                <w:bCs/>
              </w:rPr>
              <w:t xml:space="preserve"> specific to First Nations Australians </w:t>
            </w:r>
          </w:p>
          <w:p w14:paraId="10565A1C" w14:textId="773D1F75" w:rsidR="00374BF3" w:rsidRPr="00CE20A0" w:rsidRDefault="00374BF3" w:rsidP="00BF6B97">
            <w:pPr>
              <w:rPr>
                <w:b/>
                <w:bCs/>
              </w:rPr>
            </w:pPr>
          </w:p>
        </w:tc>
        <w:tc>
          <w:tcPr>
            <w:tcW w:w="2330" w:type="dxa"/>
          </w:tcPr>
          <w:p w14:paraId="5BCB8E6E" w14:textId="70FAD86E" w:rsidR="00374BF3" w:rsidRDefault="00374BF3" w:rsidP="00BF6B97">
            <w:r>
              <w:t>Not included</w:t>
            </w:r>
          </w:p>
        </w:tc>
        <w:tc>
          <w:tcPr>
            <w:tcW w:w="2267" w:type="dxa"/>
          </w:tcPr>
          <w:p w14:paraId="2B23FCE3" w14:textId="646E977D" w:rsidR="00374BF3" w:rsidRDefault="00374BF3" w:rsidP="00BF6B97">
            <w:r>
              <w:t>Not included</w:t>
            </w:r>
          </w:p>
        </w:tc>
        <w:tc>
          <w:tcPr>
            <w:tcW w:w="2552" w:type="dxa"/>
          </w:tcPr>
          <w:p w14:paraId="1EA94BA9" w14:textId="71D3468C" w:rsidR="00374BF3" w:rsidRDefault="00374BF3" w:rsidP="00BF6B97">
            <w:r>
              <w:t>Included</w:t>
            </w:r>
            <w:r w:rsidR="008E65F3">
              <w:t xml:space="preserve"> in addition to public consultations and an optional stakeholder forum</w:t>
            </w:r>
          </w:p>
        </w:tc>
        <w:tc>
          <w:tcPr>
            <w:tcW w:w="4455" w:type="dxa"/>
          </w:tcPr>
          <w:p w14:paraId="6C36C0C2" w14:textId="17EADF22" w:rsidR="00553786" w:rsidRDefault="00991351" w:rsidP="001272C8">
            <w:r>
              <w:t xml:space="preserve">In the </w:t>
            </w:r>
            <w:r w:rsidR="00EB0CD1">
              <w:t>2015</w:t>
            </w:r>
            <w:r>
              <w:t xml:space="preserve"> PMR </w:t>
            </w:r>
            <w:r w:rsidR="00517251">
              <w:t>F</w:t>
            </w:r>
            <w:r>
              <w:t>ramework and the consultation draft</w:t>
            </w:r>
            <w:r w:rsidR="00517251">
              <w:t xml:space="preserve"> of the revised Framework</w:t>
            </w:r>
            <w:r>
              <w:t>, consumer/patient views were sought via public consultations and an optional stakeholder forum. Consumers were also represented in the RG.</w:t>
            </w:r>
          </w:p>
          <w:p w14:paraId="4B872D84" w14:textId="6C2AA17D" w:rsidR="00374BF3" w:rsidRDefault="00D93CAC" w:rsidP="00F104A2">
            <w:pPr>
              <w:spacing w:before="120"/>
            </w:pPr>
            <w:r>
              <w:t xml:space="preserve">A </w:t>
            </w:r>
            <w:r w:rsidR="008E65F3">
              <w:t>new</w:t>
            </w:r>
            <w:r w:rsidR="00374BF3">
              <w:t xml:space="preserve"> standalone</w:t>
            </w:r>
            <w:r w:rsidR="00374BF3" w:rsidRPr="00374BF3">
              <w:t xml:space="preserve"> </w:t>
            </w:r>
            <w:r w:rsidR="00991351">
              <w:t xml:space="preserve">consumer focussed </w:t>
            </w:r>
            <w:r w:rsidR="00374BF3" w:rsidRPr="00374BF3">
              <w:t>ToR</w:t>
            </w:r>
            <w:r w:rsidR="00991351">
              <w:t xml:space="preserve"> </w:t>
            </w:r>
            <w:r>
              <w:t xml:space="preserve">has been included in the </w:t>
            </w:r>
            <w:r w:rsidR="005B720E">
              <w:t>202</w:t>
            </w:r>
            <w:r w:rsidR="003C49BA">
              <w:t>4</w:t>
            </w:r>
            <w:r>
              <w:t xml:space="preserve"> </w:t>
            </w:r>
            <w:r w:rsidR="008E65F3">
              <w:t>PMR Framework</w:t>
            </w:r>
            <w:r w:rsidR="00374BF3">
              <w:t xml:space="preserve"> </w:t>
            </w:r>
            <w:r>
              <w:t>to</w:t>
            </w:r>
            <w:r w:rsidR="00991351">
              <w:t xml:space="preserve"> assist in capturing </w:t>
            </w:r>
            <w:r w:rsidR="009659DC">
              <w:t>considerations identified by</w:t>
            </w:r>
            <w:r w:rsidR="00991351">
              <w:t xml:space="preserve"> patients and their families/carers more fully.</w:t>
            </w:r>
            <w:r w:rsidR="00991351" w:rsidRPr="005A5405">
              <w:rPr>
                <w:rFonts w:cstheme="minorHAnsi"/>
                <w:sz w:val="24"/>
              </w:rPr>
              <w:t xml:space="preserve"> </w:t>
            </w:r>
          </w:p>
        </w:tc>
      </w:tr>
      <w:tr w:rsidR="0080174C" w:rsidRPr="00CE20A0" w14:paraId="0F1CCAC5" w14:textId="1BE9FB65" w:rsidTr="00195BB5">
        <w:tc>
          <w:tcPr>
            <w:tcW w:w="0" w:type="auto"/>
          </w:tcPr>
          <w:p w14:paraId="24076CD6" w14:textId="77777777" w:rsidR="00374BF3" w:rsidRPr="00CE20A0" w:rsidRDefault="00374BF3" w:rsidP="00195BB5">
            <w:pPr>
              <w:rPr>
                <w:b/>
                <w:bCs/>
              </w:rPr>
            </w:pPr>
            <w:r w:rsidRPr="00CE20A0">
              <w:rPr>
                <w:b/>
                <w:bCs/>
              </w:rPr>
              <w:t xml:space="preserve">Approval of the ToRs </w:t>
            </w:r>
          </w:p>
        </w:tc>
        <w:tc>
          <w:tcPr>
            <w:tcW w:w="2330" w:type="dxa"/>
          </w:tcPr>
          <w:p w14:paraId="4BE71C31" w14:textId="4FB21686" w:rsidR="00374BF3" w:rsidRPr="00CE20A0" w:rsidRDefault="008E65F3" w:rsidP="00195BB5">
            <w:r>
              <w:t>Approved</w:t>
            </w:r>
            <w:r w:rsidR="00374BF3">
              <w:t xml:space="preserve"> by the PBAC and the Minister</w:t>
            </w:r>
          </w:p>
        </w:tc>
        <w:tc>
          <w:tcPr>
            <w:tcW w:w="2267" w:type="dxa"/>
          </w:tcPr>
          <w:p w14:paraId="7C316474" w14:textId="37F91EDB" w:rsidR="00374BF3" w:rsidRPr="00CE20A0" w:rsidRDefault="00374BF3" w:rsidP="00195BB5">
            <w:r>
              <w:t>Approv</w:t>
            </w:r>
            <w:r w:rsidR="008E65F3">
              <w:t xml:space="preserve">ed </w:t>
            </w:r>
            <w:r>
              <w:t>by the PBAC</w:t>
            </w:r>
            <w:r w:rsidR="008E65F3">
              <w:t xml:space="preserve"> only</w:t>
            </w:r>
          </w:p>
        </w:tc>
        <w:tc>
          <w:tcPr>
            <w:tcW w:w="2552" w:type="dxa"/>
          </w:tcPr>
          <w:p w14:paraId="0DE7C27C" w14:textId="15675A7E" w:rsidR="00374BF3" w:rsidRPr="00CE20A0" w:rsidRDefault="00374BF3" w:rsidP="00195BB5">
            <w:r>
              <w:t>Approved by the PBAC Executive in most cases</w:t>
            </w:r>
          </w:p>
        </w:tc>
        <w:tc>
          <w:tcPr>
            <w:tcW w:w="4455" w:type="dxa"/>
          </w:tcPr>
          <w:p w14:paraId="6A67A33D" w14:textId="2D4798E0" w:rsidR="00553786" w:rsidRDefault="008E65F3" w:rsidP="009066EF">
            <w:pPr>
              <w:spacing w:after="120"/>
            </w:pPr>
            <w:r>
              <w:t>U</w:t>
            </w:r>
            <w:r w:rsidRPr="008E65F3">
              <w:t xml:space="preserve">nder the </w:t>
            </w:r>
            <w:r w:rsidR="0078542E">
              <w:t>202</w:t>
            </w:r>
            <w:r w:rsidR="003C49BA">
              <w:t>4</w:t>
            </w:r>
            <w:r w:rsidR="0078542E">
              <w:t xml:space="preserve"> </w:t>
            </w:r>
            <w:r w:rsidRPr="008E65F3">
              <w:t>PMR Framework</w:t>
            </w:r>
            <w:r>
              <w:t>,</w:t>
            </w:r>
            <w:r w:rsidRPr="008E65F3">
              <w:t xml:space="preserve"> the PBAC Executive will be requested to approve the final Review ToRs </w:t>
            </w:r>
            <w:r w:rsidR="00991351">
              <w:t xml:space="preserve">rather </w:t>
            </w:r>
            <w:r w:rsidR="009D2528">
              <w:t xml:space="preserve">than </w:t>
            </w:r>
            <w:r w:rsidR="009D2528" w:rsidRPr="008E65F3">
              <w:t>the</w:t>
            </w:r>
            <w:r w:rsidRPr="008E65F3">
              <w:t xml:space="preserve"> </w:t>
            </w:r>
            <w:r w:rsidR="00D93CAC">
              <w:t>full</w:t>
            </w:r>
            <w:r w:rsidR="006F2C1C">
              <w:t xml:space="preserve"> </w:t>
            </w:r>
            <w:r w:rsidRPr="008E65F3">
              <w:t>Committee</w:t>
            </w:r>
            <w:r w:rsidR="00991351">
              <w:t>.</w:t>
            </w:r>
            <w:r>
              <w:t xml:space="preserve"> This will </w:t>
            </w:r>
            <w:r w:rsidR="00991351">
              <w:t xml:space="preserve">expedite PMR timeframes as there can be delays in inclusion on the </w:t>
            </w:r>
            <w:r w:rsidR="00991351">
              <w:lastRenderedPageBreak/>
              <w:t xml:space="preserve">agenda of a triannual PBAC or PBAC Intracycle meeting. </w:t>
            </w:r>
          </w:p>
          <w:p w14:paraId="7A5E0E61" w14:textId="101E2AEE" w:rsidR="00374BF3" w:rsidRDefault="009D1323" w:rsidP="00195BB5">
            <w:r w:rsidRPr="009D1323">
              <w:t>Where there may be the need for a significant deviation from the standard ToRs</w:t>
            </w:r>
            <w:r w:rsidR="00991351">
              <w:t xml:space="preserve">, </w:t>
            </w:r>
            <w:r w:rsidRPr="009D1323">
              <w:t xml:space="preserve">the </w:t>
            </w:r>
            <w:r w:rsidR="00D93CAC">
              <w:t>full</w:t>
            </w:r>
            <w:r w:rsidR="009D2528">
              <w:t xml:space="preserve"> </w:t>
            </w:r>
            <w:r w:rsidR="009D2528" w:rsidRPr="009D1323">
              <w:t>PBAC</w:t>
            </w:r>
            <w:r w:rsidRPr="009D1323">
              <w:t xml:space="preserve"> committee will be asked to </w:t>
            </w:r>
            <w:r w:rsidR="00991351">
              <w:t xml:space="preserve">consider and </w:t>
            </w:r>
            <w:r w:rsidRPr="009D1323">
              <w:t>approve the ToRs.</w:t>
            </w:r>
          </w:p>
        </w:tc>
      </w:tr>
      <w:tr w:rsidR="0080174C" w:rsidRPr="00CE20A0" w14:paraId="710FC9F0" w14:textId="055AA464" w:rsidTr="00195BB5">
        <w:tc>
          <w:tcPr>
            <w:tcW w:w="0" w:type="auto"/>
          </w:tcPr>
          <w:p w14:paraId="5E9B9220" w14:textId="77777777" w:rsidR="00374BF3" w:rsidRPr="00CE20A0" w:rsidRDefault="00374BF3" w:rsidP="00BF6B97">
            <w:pPr>
              <w:rPr>
                <w:b/>
                <w:bCs/>
              </w:rPr>
            </w:pPr>
            <w:r w:rsidRPr="00CE20A0">
              <w:rPr>
                <w:b/>
                <w:bCs/>
              </w:rPr>
              <w:lastRenderedPageBreak/>
              <w:t>Review Reference Group (RG)</w:t>
            </w:r>
          </w:p>
        </w:tc>
        <w:tc>
          <w:tcPr>
            <w:tcW w:w="2330" w:type="dxa"/>
          </w:tcPr>
          <w:p w14:paraId="1141B610" w14:textId="3907588F" w:rsidR="00374BF3" w:rsidRDefault="00374BF3" w:rsidP="00BF6B97">
            <w:r>
              <w:t>Established for e</w:t>
            </w:r>
            <w:r w:rsidR="009D1323">
              <w:t>ach</w:t>
            </w:r>
            <w:r>
              <w:t xml:space="preserve"> PMR and involved in the development of the draft report</w:t>
            </w:r>
          </w:p>
        </w:tc>
        <w:tc>
          <w:tcPr>
            <w:tcW w:w="2267" w:type="dxa"/>
          </w:tcPr>
          <w:p w14:paraId="20F22E86" w14:textId="69DD360C" w:rsidR="00374BF3" w:rsidRDefault="00374BF3" w:rsidP="00BF6B97">
            <w:r>
              <w:t>Optional RG that is only formed if requested by the PBAC and convened after the report has been drafted</w:t>
            </w:r>
          </w:p>
        </w:tc>
        <w:tc>
          <w:tcPr>
            <w:tcW w:w="2552" w:type="dxa"/>
          </w:tcPr>
          <w:p w14:paraId="3E377852" w14:textId="666F4ADD" w:rsidR="00374BF3" w:rsidRPr="00B80D4F" w:rsidRDefault="008E65F3" w:rsidP="00BF6B97">
            <w:r w:rsidRPr="008E65F3">
              <w:t>Optional RG that is only formed if requested by the PBAC</w:t>
            </w:r>
            <w:r>
              <w:t>/PBAC Executive</w:t>
            </w:r>
          </w:p>
        </w:tc>
        <w:tc>
          <w:tcPr>
            <w:tcW w:w="4455" w:type="dxa"/>
          </w:tcPr>
          <w:p w14:paraId="545DFC2B" w14:textId="0A6360E0" w:rsidR="008E65F3" w:rsidRDefault="008E65F3" w:rsidP="0080174C">
            <w:pPr>
              <w:spacing w:after="120"/>
            </w:pPr>
            <w:r w:rsidRPr="008E65F3">
              <w:t>The</w:t>
            </w:r>
            <w:r>
              <w:t xml:space="preserve"> RG</w:t>
            </w:r>
            <w:r w:rsidRPr="008E65F3">
              <w:t xml:space="preserve"> appointment process is lengthy, and it is difficult to schedule R</w:t>
            </w:r>
            <w:r>
              <w:t>G</w:t>
            </w:r>
            <w:r w:rsidRPr="008E65F3">
              <w:t xml:space="preserve"> meetings to accommodate the availability of all appointed members. Clinical experts and peak body representatives have many competing demands on their time.</w:t>
            </w:r>
            <w:r>
              <w:t xml:space="preserve"> </w:t>
            </w:r>
          </w:p>
          <w:p w14:paraId="01613B44" w14:textId="76988F1E" w:rsidR="00374BF3" w:rsidRDefault="008E65F3" w:rsidP="00BF6B97">
            <w:r w:rsidRPr="008E65F3">
              <w:t>To expedite and streamline the PMR process, a</w:t>
            </w:r>
            <w:r>
              <w:t xml:space="preserve"> RG</w:t>
            </w:r>
            <w:r w:rsidRPr="008E65F3">
              <w:t xml:space="preserve"> will only be established when deemed </w:t>
            </w:r>
            <w:r w:rsidR="00195BB5">
              <w:t>necessary</w:t>
            </w:r>
            <w:r w:rsidRPr="008E65F3">
              <w:t xml:space="preserve"> by the PBAC. For example, when the</w:t>
            </w:r>
            <w:r w:rsidR="00991351">
              <w:t xml:space="preserve"> PBAC considers </w:t>
            </w:r>
            <w:r w:rsidR="009D2528">
              <w:t xml:space="preserve">there </w:t>
            </w:r>
            <w:r w:rsidR="009D2528" w:rsidRPr="008E65F3">
              <w:t>is</w:t>
            </w:r>
            <w:r w:rsidRPr="008E65F3">
              <w:t xml:space="preserve"> insufficient clinical expertise within </w:t>
            </w:r>
            <w:r w:rsidR="009D2528">
              <w:t xml:space="preserve">its </w:t>
            </w:r>
            <w:r w:rsidR="009D2528" w:rsidRPr="008E65F3">
              <w:t>membership</w:t>
            </w:r>
            <w:r w:rsidRPr="008E65F3">
              <w:t xml:space="preserve"> </w:t>
            </w:r>
            <w:r w:rsidR="00991351">
              <w:t xml:space="preserve">and that of </w:t>
            </w:r>
            <w:r w:rsidRPr="008E65F3">
              <w:t>its sub-committees to provide advice on the specific research and stakeholder input relevant to the Review.</w:t>
            </w:r>
          </w:p>
        </w:tc>
      </w:tr>
      <w:tr w:rsidR="0080174C" w:rsidRPr="00CE20A0" w14:paraId="4C02D198" w14:textId="0A2B5641" w:rsidTr="00195BB5">
        <w:tc>
          <w:tcPr>
            <w:tcW w:w="0" w:type="auto"/>
          </w:tcPr>
          <w:p w14:paraId="05C2E876" w14:textId="68CDCAE6" w:rsidR="00374BF3" w:rsidRPr="00CE20A0" w:rsidRDefault="00374BF3" w:rsidP="00BF6B97">
            <w:pPr>
              <w:rPr>
                <w:b/>
                <w:bCs/>
                <w:vertAlign w:val="superscript"/>
              </w:rPr>
            </w:pPr>
            <w:r w:rsidRPr="00CE20A0">
              <w:rPr>
                <w:b/>
                <w:bCs/>
              </w:rPr>
              <w:t>Commencement of PMR</w:t>
            </w:r>
          </w:p>
        </w:tc>
        <w:tc>
          <w:tcPr>
            <w:tcW w:w="2330" w:type="dxa"/>
          </w:tcPr>
          <w:p w14:paraId="215CBC7A" w14:textId="3B66612D" w:rsidR="00374BF3" w:rsidRDefault="00374BF3" w:rsidP="00BF6B97">
            <w:r>
              <w:t>At the time of the PBAC recommendation for a PMR</w:t>
            </w:r>
          </w:p>
        </w:tc>
        <w:tc>
          <w:tcPr>
            <w:tcW w:w="2267" w:type="dxa"/>
          </w:tcPr>
          <w:p w14:paraId="7DB76457" w14:textId="61AACEE5" w:rsidR="00374BF3" w:rsidRDefault="00374BF3" w:rsidP="00BF6B97">
            <w:r>
              <w:t>Upon approval of the Review ToRs by the PBAC</w:t>
            </w:r>
          </w:p>
          <w:p w14:paraId="7F915D81" w14:textId="682224BB" w:rsidR="00374BF3" w:rsidRPr="003033C9" w:rsidRDefault="00374BF3" w:rsidP="00BF6B97">
            <w:pPr>
              <w:rPr>
                <w:i/>
                <w:iCs/>
              </w:rPr>
            </w:pPr>
          </w:p>
        </w:tc>
        <w:tc>
          <w:tcPr>
            <w:tcW w:w="2552" w:type="dxa"/>
          </w:tcPr>
          <w:p w14:paraId="20933FC9" w14:textId="70D005F9" w:rsidR="00374BF3" w:rsidRPr="00B80D4F" w:rsidRDefault="00374BF3" w:rsidP="00BF6B97">
            <w:r>
              <w:t xml:space="preserve">When the PMR is announced </w:t>
            </w:r>
            <w:r w:rsidR="008E65F3">
              <w:t>on</w:t>
            </w:r>
            <w:r>
              <w:t xml:space="preserve"> the PBS website, post PBAC</w:t>
            </w:r>
            <w:r w:rsidR="008E65F3">
              <w:t xml:space="preserve">/PBAC </w:t>
            </w:r>
            <w:r>
              <w:t>Executive approval of the Review ToRs</w:t>
            </w:r>
          </w:p>
        </w:tc>
        <w:tc>
          <w:tcPr>
            <w:tcW w:w="4455" w:type="dxa"/>
          </w:tcPr>
          <w:p w14:paraId="3B98B815" w14:textId="2C3749B3" w:rsidR="00374BF3" w:rsidRDefault="00195BB5" w:rsidP="00BF6B97">
            <w:r>
              <w:t xml:space="preserve">The </w:t>
            </w:r>
            <w:r w:rsidR="0078542E">
              <w:t>202</w:t>
            </w:r>
            <w:r w:rsidR="003C49BA">
              <w:t>4</w:t>
            </w:r>
            <w:r>
              <w:t xml:space="preserve"> PMR Framework</w:t>
            </w:r>
            <w:r w:rsidR="008E65F3">
              <w:t xml:space="preserve"> </w:t>
            </w:r>
            <w:r>
              <w:t xml:space="preserve">aims for </w:t>
            </w:r>
            <w:r w:rsidR="008E65F3">
              <w:t>most PMRs to be completed within a timeframe of 12</w:t>
            </w:r>
            <w:r>
              <w:t> </w:t>
            </w:r>
            <w:r w:rsidR="008E65F3">
              <w:t>months</w:t>
            </w:r>
            <w:r w:rsidR="00991351">
              <w:t xml:space="preserve"> </w:t>
            </w:r>
            <w:r w:rsidR="0080174C">
              <w:t>from online announcement of the PMR to PBAC consideration of the draft report</w:t>
            </w:r>
            <w:r w:rsidR="00991351">
              <w:t>,</w:t>
            </w:r>
            <w:r w:rsidR="0080174C">
              <w:t xml:space="preserve"> </w:t>
            </w:r>
            <w:r w:rsidR="008E65F3">
              <w:t>consistent with the intent of the S</w:t>
            </w:r>
            <w:r w:rsidR="00517251">
              <w:t>trategic Agreement</w:t>
            </w:r>
            <w:r w:rsidR="008E65F3">
              <w:t xml:space="preserve">. </w:t>
            </w:r>
            <w:r>
              <w:t>M</w:t>
            </w:r>
            <w:r w:rsidR="008E65F3">
              <w:t xml:space="preserve">ore complex PMRs may still extend beyond a timeframe of 12 months. </w:t>
            </w:r>
          </w:p>
        </w:tc>
      </w:tr>
    </w:tbl>
    <w:p w14:paraId="3F9875E1" w14:textId="7BCF3387" w:rsidR="00B80D4F" w:rsidRPr="00B80D4F" w:rsidRDefault="00B80D4F" w:rsidP="006F2C1C">
      <w:pPr>
        <w:spacing w:before="60" w:after="0" w:line="240" w:lineRule="auto"/>
      </w:pPr>
      <w:r w:rsidRPr="00CE20A0">
        <w:rPr>
          <w:sz w:val="20"/>
          <w:szCs w:val="20"/>
        </w:rPr>
        <w:t>Abbreviations:</w:t>
      </w:r>
      <w:r w:rsidR="00374BF3">
        <w:rPr>
          <w:sz w:val="20"/>
          <w:szCs w:val="20"/>
        </w:rPr>
        <w:t xml:space="preserve"> </w:t>
      </w:r>
      <w:r w:rsidRPr="00CE20A0">
        <w:rPr>
          <w:sz w:val="20"/>
          <w:szCs w:val="20"/>
        </w:rPr>
        <w:t xml:space="preserve">PBAC = Pharmaceutical Benefits Advisory Committee; </w:t>
      </w:r>
      <w:r w:rsidR="00517251">
        <w:rPr>
          <w:sz w:val="20"/>
          <w:szCs w:val="20"/>
        </w:rPr>
        <w:t xml:space="preserve">PBS = Pharmaceutical Benefits Scheme; </w:t>
      </w:r>
      <w:r w:rsidRPr="00CE20A0">
        <w:rPr>
          <w:sz w:val="20"/>
          <w:szCs w:val="20"/>
        </w:rPr>
        <w:t>PMR = Post-market Review; RG = Reference Group;</w:t>
      </w:r>
      <w:r w:rsidR="00195BB5">
        <w:rPr>
          <w:sz w:val="20"/>
          <w:szCs w:val="20"/>
        </w:rPr>
        <w:t xml:space="preserve"> </w:t>
      </w:r>
      <w:r w:rsidRPr="00CE20A0">
        <w:rPr>
          <w:sz w:val="20"/>
          <w:szCs w:val="20"/>
        </w:rPr>
        <w:t>ToRs</w:t>
      </w:r>
      <w:r w:rsidR="00195BB5">
        <w:rPr>
          <w:sz w:val="20"/>
          <w:szCs w:val="20"/>
        </w:rPr>
        <w:t> </w:t>
      </w:r>
      <w:r w:rsidRPr="00CE20A0">
        <w:rPr>
          <w:sz w:val="20"/>
          <w:szCs w:val="20"/>
        </w:rPr>
        <w:t>=</w:t>
      </w:r>
      <w:r w:rsidR="00195BB5">
        <w:rPr>
          <w:sz w:val="20"/>
          <w:szCs w:val="20"/>
        </w:rPr>
        <w:t> </w:t>
      </w:r>
      <w:r w:rsidRPr="00CE20A0">
        <w:rPr>
          <w:sz w:val="20"/>
          <w:szCs w:val="20"/>
        </w:rPr>
        <w:t>Terms of Referenc</w:t>
      </w:r>
      <w:r w:rsidR="009D1323">
        <w:rPr>
          <w:sz w:val="20"/>
          <w:szCs w:val="20"/>
        </w:rPr>
        <w:t>e</w:t>
      </w:r>
      <w:r w:rsidR="00517251">
        <w:rPr>
          <w:sz w:val="20"/>
          <w:szCs w:val="20"/>
        </w:rPr>
        <w:t>.</w:t>
      </w:r>
    </w:p>
    <w:sectPr w:rsidR="00B80D4F" w:rsidRPr="00B80D4F" w:rsidSect="006F2C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0ED98" w14:textId="77777777" w:rsidR="00885A12" w:rsidRDefault="00885A12" w:rsidP="00B80D4F">
      <w:pPr>
        <w:spacing w:after="0" w:line="240" w:lineRule="auto"/>
      </w:pPr>
      <w:r>
        <w:separator/>
      </w:r>
    </w:p>
  </w:endnote>
  <w:endnote w:type="continuationSeparator" w:id="0">
    <w:p w14:paraId="248ACD8B" w14:textId="77777777" w:rsidR="00885A12" w:rsidRDefault="00885A12" w:rsidP="00B8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63F3" w14:textId="77777777" w:rsidR="00AF3501" w:rsidRDefault="00AF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56264"/>
      <w:docPartObj>
        <w:docPartGallery w:val="Page Numbers (Bottom of Page)"/>
        <w:docPartUnique/>
      </w:docPartObj>
    </w:sdtPr>
    <w:sdtEndPr>
      <w:rPr>
        <w:noProof/>
      </w:rPr>
    </w:sdtEndPr>
    <w:sdtContent>
      <w:p w14:paraId="30418A50" w14:textId="7CC43A12" w:rsidR="00B80D4F" w:rsidRDefault="00B80D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1A60C" w14:textId="77777777" w:rsidR="00B80D4F" w:rsidRDefault="00B80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EFB4" w14:textId="77777777" w:rsidR="00AF3501" w:rsidRDefault="00AF3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71A8" w14:textId="77777777" w:rsidR="00885A12" w:rsidRDefault="00885A12" w:rsidP="00B80D4F">
      <w:pPr>
        <w:spacing w:after="0" w:line="240" w:lineRule="auto"/>
      </w:pPr>
      <w:r>
        <w:separator/>
      </w:r>
    </w:p>
  </w:footnote>
  <w:footnote w:type="continuationSeparator" w:id="0">
    <w:p w14:paraId="1A2CBE12" w14:textId="77777777" w:rsidR="00885A12" w:rsidRDefault="00885A12" w:rsidP="00B80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C860" w14:textId="77777777" w:rsidR="00AF3501" w:rsidRDefault="00AF3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96CE" w14:textId="77777777" w:rsidR="00AF3501" w:rsidRDefault="00AF3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17AE" w14:textId="77777777" w:rsidR="00AF3501" w:rsidRDefault="00AF3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461"/>
    <w:multiLevelType w:val="hybridMultilevel"/>
    <w:tmpl w:val="6846A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192CA9"/>
    <w:multiLevelType w:val="hybridMultilevel"/>
    <w:tmpl w:val="B756DD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2007FF"/>
    <w:multiLevelType w:val="hybridMultilevel"/>
    <w:tmpl w:val="CC78A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4F03390"/>
    <w:multiLevelType w:val="hybridMultilevel"/>
    <w:tmpl w:val="F15CEF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7B16C68"/>
    <w:multiLevelType w:val="hybridMultilevel"/>
    <w:tmpl w:val="55CCD1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66BD2F53"/>
    <w:multiLevelType w:val="hybridMultilevel"/>
    <w:tmpl w:val="EA881A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EF83F92"/>
    <w:multiLevelType w:val="hybridMultilevel"/>
    <w:tmpl w:val="6130E8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12489390">
    <w:abstractNumId w:val="1"/>
  </w:num>
  <w:num w:numId="2" w16cid:durableId="1737632743">
    <w:abstractNumId w:val="0"/>
  </w:num>
  <w:num w:numId="3" w16cid:durableId="2036807161">
    <w:abstractNumId w:val="5"/>
  </w:num>
  <w:num w:numId="4" w16cid:durableId="1588729268">
    <w:abstractNumId w:val="2"/>
  </w:num>
  <w:num w:numId="5" w16cid:durableId="1170604945">
    <w:abstractNumId w:val="6"/>
  </w:num>
  <w:num w:numId="6" w16cid:durableId="1379017064">
    <w:abstractNumId w:val="4"/>
  </w:num>
  <w:num w:numId="7" w16cid:durableId="142089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4F"/>
    <w:rsid w:val="0006026E"/>
    <w:rsid w:val="000C26C7"/>
    <w:rsid w:val="000D09B8"/>
    <w:rsid w:val="000D5D8A"/>
    <w:rsid w:val="000E1C64"/>
    <w:rsid w:val="000E7CFC"/>
    <w:rsid w:val="001272C8"/>
    <w:rsid w:val="00165BA9"/>
    <w:rsid w:val="00195BB5"/>
    <w:rsid w:val="001B7CC0"/>
    <w:rsid w:val="001D52EE"/>
    <w:rsid w:val="001E0C91"/>
    <w:rsid w:val="00200A36"/>
    <w:rsid w:val="00240A75"/>
    <w:rsid w:val="002456DA"/>
    <w:rsid w:val="002503BA"/>
    <w:rsid w:val="0026726B"/>
    <w:rsid w:val="002E6AC5"/>
    <w:rsid w:val="003039C5"/>
    <w:rsid w:val="003239C1"/>
    <w:rsid w:val="00356DDF"/>
    <w:rsid w:val="00374BF3"/>
    <w:rsid w:val="003960DB"/>
    <w:rsid w:val="003C49BA"/>
    <w:rsid w:val="004454C6"/>
    <w:rsid w:val="004455DA"/>
    <w:rsid w:val="00493754"/>
    <w:rsid w:val="00495520"/>
    <w:rsid w:val="004D5172"/>
    <w:rsid w:val="004E6605"/>
    <w:rsid w:val="004F065D"/>
    <w:rsid w:val="004F6E5D"/>
    <w:rsid w:val="005068A1"/>
    <w:rsid w:val="00517251"/>
    <w:rsid w:val="005342DA"/>
    <w:rsid w:val="00553786"/>
    <w:rsid w:val="005671BA"/>
    <w:rsid w:val="0057459D"/>
    <w:rsid w:val="005B720E"/>
    <w:rsid w:val="005F1F81"/>
    <w:rsid w:val="005F2F93"/>
    <w:rsid w:val="00620EBA"/>
    <w:rsid w:val="00644548"/>
    <w:rsid w:val="006D6C5A"/>
    <w:rsid w:val="006E17F5"/>
    <w:rsid w:val="006F2C1C"/>
    <w:rsid w:val="006F5507"/>
    <w:rsid w:val="0072617A"/>
    <w:rsid w:val="00733091"/>
    <w:rsid w:val="007445AD"/>
    <w:rsid w:val="00773788"/>
    <w:rsid w:val="00776D93"/>
    <w:rsid w:val="007829EE"/>
    <w:rsid w:val="0078542E"/>
    <w:rsid w:val="007C73D4"/>
    <w:rsid w:val="007D1560"/>
    <w:rsid w:val="007E3027"/>
    <w:rsid w:val="007E4FB7"/>
    <w:rsid w:val="0080174C"/>
    <w:rsid w:val="00807D71"/>
    <w:rsid w:val="0082606A"/>
    <w:rsid w:val="00872BAE"/>
    <w:rsid w:val="00885A12"/>
    <w:rsid w:val="008A6BCE"/>
    <w:rsid w:val="008E5FB6"/>
    <w:rsid w:val="008E65F3"/>
    <w:rsid w:val="009066EF"/>
    <w:rsid w:val="009659DC"/>
    <w:rsid w:val="009801A9"/>
    <w:rsid w:val="00991351"/>
    <w:rsid w:val="009D1323"/>
    <w:rsid w:val="009D1FDE"/>
    <w:rsid w:val="009D2528"/>
    <w:rsid w:val="009D6E5D"/>
    <w:rsid w:val="00A10E55"/>
    <w:rsid w:val="00A37109"/>
    <w:rsid w:val="00AC64CA"/>
    <w:rsid w:val="00AF3501"/>
    <w:rsid w:val="00B13596"/>
    <w:rsid w:val="00B55630"/>
    <w:rsid w:val="00B70C6C"/>
    <w:rsid w:val="00B80D4F"/>
    <w:rsid w:val="00B81FD1"/>
    <w:rsid w:val="00B851A0"/>
    <w:rsid w:val="00C52E39"/>
    <w:rsid w:val="00CD37C1"/>
    <w:rsid w:val="00CF0A71"/>
    <w:rsid w:val="00D50189"/>
    <w:rsid w:val="00D64961"/>
    <w:rsid w:val="00D93CAC"/>
    <w:rsid w:val="00DC3722"/>
    <w:rsid w:val="00DE4C33"/>
    <w:rsid w:val="00E00ABF"/>
    <w:rsid w:val="00E573CB"/>
    <w:rsid w:val="00E65F2F"/>
    <w:rsid w:val="00E801EA"/>
    <w:rsid w:val="00E810D0"/>
    <w:rsid w:val="00EB0CD1"/>
    <w:rsid w:val="00F104A2"/>
    <w:rsid w:val="00F27D1D"/>
    <w:rsid w:val="00FC6903"/>
    <w:rsid w:val="00FD2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7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D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0D4F"/>
    <w:pPr>
      <w:ind w:left="720"/>
      <w:contextualSpacing/>
    </w:pPr>
  </w:style>
  <w:style w:type="character" w:styleId="Hyperlink">
    <w:name w:val="Hyperlink"/>
    <w:basedOn w:val="DefaultParagraphFont"/>
    <w:uiPriority w:val="99"/>
    <w:unhideWhenUsed/>
    <w:rsid w:val="00B80D4F"/>
    <w:rPr>
      <w:color w:val="0563C1" w:themeColor="hyperlink"/>
      <w:u w:val="single"/>
    </w:rPr>
  </w:style>
  <w:style w:type="character" w:styleId="UnresolvedMention">
    <w:name w:val="Unresolved Mention"/>
    <w:basedOn w:val="DefaultParagraphFont"/>
    <w:uiPriority w:val="99"/>
    <w:semiHidden/>
    <w:unhideWhenUsed/>
    <w:rsid w:val="00B80D4F"/>
    <w:rPr>
      <w:color w:val="605E5C"/>
      <w:shd w:val="clear" w:color="auto" w:fill="E1DFDD"/>
    </w:rPr>
  </w:style>
  <w:style w:type="character" w:styleId="CommentReference">
    <w:name w:val="annotation reference"/>
    <w:basedOn w:val="DefaultParagraphFont"/>
    <w:uiPriority w:val="99"/>
    <w:semiHidden/>
    <w:unhideWhenUsed/>
    <w:rsid w:val="00B80D4F"/>
    <w:rPr>
      <w:sz w:val="16"/>
      <w:szCs w:val="16"/>
    </w:rPr>
  </w:style>
  <w:style w:type="paragraph" w:styleId="CommentText">
    <w:name w:val="annotation text"/>
    <w:basedOn w:val="Normal"/>
    <w:link w:val="CommentTextChar"/>
    <w:uiPriority w:val="99"/>
    <w:unhideWhenUsed/>
    <w:rsid w:val="00B80D4F"/>
    <w:pPr>
      <w:spacing w:line="240" w:lineRule="auto"/>
    </w:pPr>
    <w:rPr>
      <w:sz w:val="20"/>
      <w:szCs w:val="20"/>
    </w:rPr>
  </w:style>
  <w:style w:type="character" w:customStyle="1" w:styleId="CommentTextChar">
    <w:name w:val="Comment Text Char"/>
    <w:basedOn w:val="DefaultParagraphFont"/>
    <w:link w:val="CommentText"/>
    <w:uiPriority w:val="99"/>
    <w:rsid w:val="00B80D4F"/>
    <w:rPr>
      <w:sz w:val="20"/>
      <w:szCs w:val="20"/>
    </w:rPr>
  </w:style>
  <w:style w:type="paragraph" w:styleId="Revision">
    <w:name w:val="Revision"/>
    <w:hidden/>
    <w:uiPriority w:val="99"/>
    <w:semiHidden/>
    <w:rsid w:val="00B80D4F"/>
    <w:pPr>
      <w:spacing w:after="0" w:line="240" w:lineRule="auto"/>
    </w:pPr>
  </w:style>
  <w:style w:type="table" w:styleId="TableGrid">
    <w:name w:val="Table Grid"/>
    <w:basedOn w:val="TableNormal"/>
    <w:uiPriority w:val="39"/>
    <w:rsid w:val="00B8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80D4F"/>
    <w:rPr>
      <w:b/>
      <w:bCs/>
    </w:rPr>
  </w:style>
  <w:style w:type="character" w:customStyle="1" w:styleId="CommentSubjectChar">
    <w:name w:val="Comment Subject Char"/>
    <w:basedOn w:val="CommentTextChar"/>
    <w:link w:val="CommentSubject"/>
    <w:uiPriority w:val="99"/>
    <w:semiHidden/>
    <w:rsid w:val="00B80D4F"/>
    <w:rPr>
      <w:b/>
      <w:bCs/>
      <w:sz w:val="20"/>
      <w:szCs w:val="20"/>
    </w:rPr>
  </w:style>
  <w:style w:type="paragraph" w:styleId="Header">
    <w:name w:val="header"/>
    <w:basedOn w:val="Normal"/>
    <w:link w:val="HeaderChar"/>
    <w:uiPriority w:val="99"/>
    <w:unhideWhenUsed/>
    <w:rsid w:val="00B80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4F"/>
  </w:style>
  <w:style w:type="paragraph" w:styleId="Footer">
    <w:name w:val="footer"/>
    <w:basedOn w:val="Normal"/>
    <w:link w:val="FooterChar"/>
    <w:uiPriority w:val="99"/>
    <w:unhideWhenUsed/>
    <w:rsid w:val="00B80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nsultations.health.gov.au/technology-assessment-access-division/revised-pbs-post-market-review-framew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2023-12-15T01:47:00Z</dcterms:created>
  <dcterms:modified xsi:type="dcterms:W3CDTF">2024-06-26T02:32:00Z</dcterms:modified>
</cp:coreProperties>
</file>