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6" w:rsidRDefault="00171C66">
      <w:pPr>
        <w:spacing w:line="228" w:lineRule="auto"/>
        <w:rPr>
          <w:b/>
        </w:rPr>
      </w:pPr>
      <w:r>
        <w:rPr>
          <w:b/>
        </w:rPr>
        <w:t>NATIONAL DIABETES SERVICES SCHEME (NDSS)</w:t>
      </w:r>
    </w:p>
    <w:p w:rsidR="00171C66" w:rsidRPr="009F2F0B" w:rsidRDefault="00171C66">
      <w:pPr>
        <w:spacing w:line="228" w:lineRule="auto"/>
        <w:rPr>
          <w:sz w:val="12"/>
          <w:szCs w:val="12"/>
        </w:rPr>
      </w:pPr>
    </w:p>
    <w:p w:rsidR="002C2EA2" w:rsidRPr="00BD7DC3" w:rsidRDefault="00962715" w:rsidP="00BD7DC3">
      <w:pPr>
        <w:spacing w:line="228" w:lineRule="auto"/>
        <w:jc w:val="both"/>
      </w:pPr>
      <w:r w:rsidRPr="00BD7DC3">
        <w:t xml:space="preserve">Since its establishment in 1987, Diabetes Australia (under Diabetes Australia Ltd) has assisted with the administration of the </w:t>
      </w:r>
      <w:r w:rsidR="00171C66" w:rsidRPr="00BD7DC3">
        <w:t xml:space="preserve">National Diabetes Services Scheme (NDSS) on behalf of the Australian Government under a </w:t>
      </w:r>
      <w:r w:rsidRPr="00BD7DC3">
        <w:t>multi-year</w:t>
      </w:r>
      <w:r w:rsidR="00171C66" w:rsidRPr="00BD7DC3">
        <w:t xml:space="preserve"> agreement.  </w:t>
      </w:r>
      <w:r w:rsidR="002C2EA2" w:rsidRPr="00BD7DC3">
        <w:t>The current agreement runs from 1</w:t>
      </w:r>
      <w:r w:rsidRPr="00BD7DC3">
        <w:t> </w:t>
      </w:r>
      <w:r w:rsidR="002C2EA2" w:rsidRPr="00BD7DC3">
        <w:t>July</w:t>
      </w:r>
      <w:r w:rsidRPr="00BD7DC3">
        <w:t> </w:t>
      </w:r>
      <w:r w:rsidR="002C2EA2" w:rsidRPr="00BD7DC3">
        <w:t>2016 until 30 June 2020.</w:t>
      </w:r>
      <w:r w:rsidR="00171C66" w:rsidRPr="00BD7DC3">
        <w:t xml:space="preserve">  </w:t>
      </w:r>
    </w:p>
    <w:p w:rsidR="002C2EA2" w:rsidRDefault="002C2EA2" w:rsidP="00BD7DC3">
      <w:pPr>
        <w:spacing w:line="228" w:lineRule="auto"/>
        <w:jc w:val="both"/>
      </w:pPr>
    </w:p>
    <w:p w:rsidR="00171C66" w:rsidRPr="00BD7DC3" w:rsidRDefault="00171C66" w:rsidP="00BD7DC3">
      <w:pPr>
        <w:spacing w:line="228" w:lineRule="auto"/>
        <w:jc w:val="both"/>
      </w:pPr>
      <w:r w:rsidRPr="00BD7DC3">
        <w:t xml:space="preserve">The Scheme is managed by the Department </w:t>
      </w:r>
      <w:r w:rsidR="00B36CE3" w:rsidRPr="00BD7DC3">
        <w:t xml:space="preserve">of Health </w:t>
      </w:r>
      <w:r w:rsidRPr="00BD7DC3">
        <w:t xml:space="preserve">through the </w:t>
      </w:r>
      <w:r w:rsidR="00407F14" w:rsidRPr="00BD7DC3">
        <w:t>Diabetes Products Section</w:t>
      </w:r>
      <w:r w:rsidR="003F0F37" w:rsidRPr="00BD7DC3">
        <w:t>, Pharmaceutical Access Branch</w:t>
      </w:r>
      <w:r w:rsidRPr="00BD7DC3">
        <w:t xml:space="preserve">, </w:t>
      </w:r>
      <w:proofErr w:type="gramStart"/>
      <w:r w:rsidRPr="00BD7DC3">
        <w:t>Pharmaceutical</w:t>
      </w:r>
      <w:proofErr w:type="gramEnd"/>
      <w:r w:rsidRPr="00BD7DC3">
        <w:t xml:space="preserve"> </w:t>
      </w:r>
      <w:r w:rsidR="00A45C51" w:rsidRPr="00BD7DC3">
        <w:t xml:space="preserve">Benefits </w:t>
      </w:r>
      <w:r w:rsidRPr="00BD7DC3">
        <w:t>Division.</w:t>
      </w:r>
    </w:p>
    <w:p w:rsidR="00171C66" w:rsidRPr="00512E1D" w:rsidRDefault="00171C66" w:rsidP="00BD7DC3">
      <w:pPr>
        <w:spacing w:line="228" w:lineRule="auto"/>
        <w:jc w:val="both"/>
        <w:rPr>
          <w:sz w:val="20"/>
        </w:rPr>
      </w:pPr>
    </w:p>
    <w:p w:rsidR="00171C66" w:rsidRPr="00BD7DC3" w:rsidRDefault="00171C66" w:rsidP="00BD7DC3">
      <w:pPr>
        <w:spacing w:line="228" w:lineRule="auto"/>
        <w:jc w:val="both"/>
      </w:pPr>
      <w:r w:rsidRPr="00BD7DC3">
        <w:t>The NDSS provides acc</w:t>
      </w:r>
      <w:r w:rsidR="002D4E06" w:rsidRPr="00BD7DC3">
        <w:t xml:space="preserve">ess to products </w:t>
      </w:r>
      <w:r w:rsidR="00021B34" w:rsidRPr="00BD7DC3">
        <w:t>and services that support</w:t>
      </w:r>
      <w:r w:rsidRPr="00BD7DC3">
        <w:t xml:space="preserve"> the self-management of diabetes at prices subsidised by the Australian Government.  </w:t>
      </w:r>
      <w:r w:rsidR="002D4E06" w:rsidRPr="00BD7DC3">
        <w:t>P</w:t>
      </w:r>
      <w:r w:rsidRPr="00BD7DC3">
        <w:t xml:space="preserve">roducts </w:t>
      </w:r>
      <w:r w:rsidR="002D4E06" w:rsidRPr="00BD7DC3">
        <w:t>include syringes and needles, insulin infusion pump consumables</w:t>
      </w:r>
      <w:r w:rsidR="008558D1" w:rsidRPr="00BD7DC3">
        <w:t>,</w:t>
      </w:r>
      <w:r w:rsidR="002D4E06" w:rsidRPr="00BD7DC3">
        <w:t xml:space="preserve"> and </w:t>
      </w:r>
      <w:r w:rsidR="00962715" w:rsidRPr="00BD7DC3">
        <w:t xml:space="preserve">blood and urine </w:t>
      </w:r>
      <w:r w:rsidR="002D4E06" w:rsidRPr="00BD7DC3">
        <w:t>testing strips, and are available through Access Points</w:t>
      </w:r>
      <w:r w:rsidR="00962715" w:rsidRPr="00BD7DC3">
        <w:t xml:space="preserve"> nationally</w:t>
      </w:r>
      <w:r w:rsidR="009732E8" w:rsidRPr="00BD7DC3">
        <w:t xml:space="preserve">.  </w:t>
      </w:r>
      <w:r w:rsidR="009732E8" w:rsidRPr="00BD7DC3">
        <w:rPr>
          <w:snapToGrid w:val="0"/>
          <w:lang w:val="en-US"/>
        </w:rPr>
        <w:t xml:space="preserve">Access Points </w:t>
      </w:r>
      <w:r w:rsidR="00962715" w:rsidRPr="00BD7DC3">
        <w:rPr>
          <w:snapToGrid w:val="0"/>
          <w:lang w:val="en-US"/>
        </w:rPr>
        <w:t>comprise</w:t>
      </w:r>
      <w:r w:rsidR="009732E8" w:rsidRPr="00BD7DC3">
        <w:rPr>
          <w:snapToGrid w:val="0"/>
          <w:lang w:val="en-US"/>
        </w:rPr>
        <w:t xml:space="preserve"> community pharmacies and </w:t>
      </w:r>
      <w:r w:rsidR="00B36CE3" w:rsidRPr="00BD7DC3">
        <w:rPr>
          <w:snapToGrid w:val="0"/>
          <w:lang w:val="en-US"/>
        </w:rPr>
        <w:t xml:space="preserve">very small numbers of </w:t>
      </w:r>
      <w:r w:rsidR="009732E8" w:rsidRPr="00BD7DC3">
        <w:rPr>
          <w:snapToGrid w:val="0"/>
          <w:lang w:val="en-US"/>
        </w:rPr>
        <w:t>other entities</w:t>
      </w:r>
      <w:r w:rsidR="002D4E06" w:rsidRPr="00BD7DC3">
        <w:rPr>
          <w:snapToGrid w:val="0"/>
          <w:lang w:val="en-US"/>
        </w:rPr>
        <w:t>,</w:t>
      </w:r>
      <w:r w:rsidR="009732E8" w:rsidRPr="00BD7DC3">
        <w:rPr>
          <w:snapToGrid w:val="0"/>
          <w:lang w:val="en-US"/>
        </w:rPr>
        <w:t xml:space="preserve"> such as health </w:t>
      </w:r>
      <w:proofErr w:type="spellStart"/>
      <w:r w:rsidR="009732E8" w:rsidRPr="00BD7DC3">
        <w:rPr>
          <w:snapToGrid w:val="0"/>
          <w:lang w:val="en-US"/>
        </w:rPr>
        <w:t>centres</w:t>
      </w:r>
      <w:proofErr w:type="spellEnd"/>
      <w:r w:rsidR="009732E8" w:rsidRPr="00BD7DC3">
        <w:rPr>
          <w:snapToGrid w:val="0"/>
          <w:lang w:val="en-US"/>
        </w:rPr>
        <w:t xml:space="preserve">, hospitals and aged care facilities.  </w:t>
      </w:r>
    </w:p>
    <w:p w:rsidR="00171C66" w:rsidRPr="00BD7DC3" w:rsidRDefault="00171C66" w:rsidP="00BD7DC3">
      <w:pPr>
        <w:spacing w:line="228" w:lineRule="auto"/>
        <w:jc w:val="both"/>
        <w:rPr>
          <w:sz w:val="20"/>
        </w:rPr>
      </w:pPr>
    </w:p>
    <w:p w:rsidR="00177A7D" w:rsidRPr="00BD7DC3" w:rsidRDefault="00BA3426" w:rsidP="00BD7DC3">
      <w:pPr>
        <w:pStyle w:val="Footer"/>
        <w:tabs>
          <w:tab w:val="clear" w:pos="4153"/>
          <w:tab w:val="clear" w:pos="8306"/>
        </w:tabs>
        <w:spacing w:line="228" w:lineRule="auto"/>
        <w:jc w:val="both"/>
      </w:pPr>
      <w:r w:rsidRPr="00BD7DC3">
        <w:t>T</w:t>
      </w:r>
      <w:r w:rsidR="00696E2C" w:rsidRPr="00BD7DC3">
        <w:t>he growth rate of</w:t>
      </w:r>
      <w:r w:rsidR="00B53954" w:rsidRPr="00BD7DC3">
        <w:t xml:space="preserve"> </w:t>
      </w:r>
      <w:r w:rsidR="00696E2C" w:rsidRPr="00BD7DC3">
        <w:t xml:space="preserve">Registrants on the NDSS </w:t>
      </w:r>
      <w:r w:rsidRPr="00BD7DC3">
        <w:t xml:space="preserve">has fluctuated </w:t>
      </w:r>
      <w:r w:rsidR="00696E2C" w:rsidRPr="00BD7DC3">
        <w:t>since 2011-12</w:t>
      </w:r>
      <w:r w:rsidRPr="00BD7DC3">
        <w:t xml:space="preserve">.  These variations </w:t>
      </w:r>
      <w:r w:rsidR="00407F14" w:rsidRPr="00BD7DC3">
        <w:t xml:space="preserve">may be attributed </w:t>
      </w:r>
      <w:r w:rsidRPr="00BD7DC3">
        <w:t>to improvement</w:t>
      </w:r>
      <w:r w:rsidR="006665F6" w:rsidRPr="00BD7DC3">
        <w:t>s in</w:t>
      </w:r>
      <w:r w:rsidRPr="00BD7DC3">
        <w:t xml:space="preserve"> data cleansing processes under the </w:t>
      </w:r>
      <w:r w:rsidR="002D4E06" w:rsidRPr="00BD7DC3">
        <w:t xml:space="preserve">previous </w:t>
      </w:r>
      <w:r w:rsidRPr="00BD7DC3">
        <w:t>NDSS Fundin</w:t>
      </w:r>
      <w:r w:rsidR="006665F6" w:rsidRPr="00BD7DC3">
        <w:t>g Agreement</w:t>
      </w:r>
      <w:r w:rsidR="002D4E06" w:rsidRPr="00BD7DC3">
        <w:t xml:space="preserve"> that ended on 30 June 2016</w:t>
      </w:r>
      <w:r w:rsidR="00796F63" w:rsidRPr="00BD7DC3">
        <w:t>.</w:t>
      </w:r>
    </w:p>
    <w:p w:rsidR="00177A7D" w:rsidRPr="00512E1D" w:rsidRDefault="00177A7D">
      <w:pPr>
        <w:spacing w:line="228" w:lineRule="auto"/>
        <w:rPr>
          <w:sz w:val="20"/>
        </w:rPr>
      </w:pPr>
    </w:p>
    <w:p w:rsidR="00171C66" w:rsidRDefault="00171C66">
      <w:pPr>
        <w:spacing w:line="228" w:lineRule="auto"/>
      </w:pPr>
      <w:r w:rsidRPr="005B2C86">
        <w:t>Details of registrant numbers are as follows:</w:t>
      </w:r>
    </w:p>
    <w:tbl>
      <w:tblPr>
        <w:tblW w:w="9229" w:type="dxa"/>
        <w:jc w:val="center"/>
        <w:tblInd w:w="9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318"/>
        <w:gridCol w:w="1319"/>
        <w:gridCol w:w="1512"/>
        <w:gridCol w:w="1417"/>
        <w:gridCol w:w="1276"/>
        <w:gridCol w:w="1069"/>
      </w:tblGrid>
      <w:tr w:rsidR="00A35015" w:rsidRPr="00A35015">
        <w:trPr>
          <w:trHeight w:val="315"/>
          <w:jc w:val="center"/>
        </w:trPr>
        <w:tc>
          <w:tcPr>
            <w:tcW w:w="9229" w:type="dxa"/>
            <w:gridSpan w:val="7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Number of persons with diabetes registered with NDSS</w:t>
            </w:r>
          </w:p>
        </w:tc>
      </w:tr>
      <w:tr w:rsidR="00102735" w:rsidRPr="00A35015" w:rsidTr="00512E1D">
        <w:trPr>
          <w:trHeight w:val="535"/>
          <w:jc w:val="center"/>
        </w:trPr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Year</w:t>
            </w:r>
          </w:p>
        </w:tc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Insulin using</w:t>
            </w:r>
          </w:p>
        </w:tc>
        <w:tc>
          <w:tcPr>
            <w:tcW w:w="131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512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Non insulin using</w:t>
            </w:r>
          </w:p>
        </w:tc>
        <w:tc>
          <w:tcPr>
            <w:tcW w:w="1417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276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Total</w:t>
            </w:r>
          </w:p>
        </w:tc>
        <w:tc>
          <w:tcPr>
            <w:tcW w:w="106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1990-91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57,087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12,121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69,208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1991-92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67,693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18.58%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19,479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60.70%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87,172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25.96%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1992-93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79,010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16.72%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29,476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51.32%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108,486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24.45%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1993-94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90,962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42,643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44.67%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133,605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23.15%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1994-95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103,263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13.52%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58,300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36.72%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161,563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20.93%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1995-96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116,275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12.60%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76,772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31.68%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193,047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19.49%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1996-97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129,076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11.01%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98,810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28.71%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227,886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18.05%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1997-98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142,484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128,162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270,646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18.76%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1998-99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155,943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9.45%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161,678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26.15%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17.36%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1999-2000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169,306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8.57%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202,549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25.28%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371,855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17.08%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2000-01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182,327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246,805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21.85%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429,132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15.40%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lastRenderedPageBreak/>
              <w:t>2001-02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195,294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7.11%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298,599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493,893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15.09%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2002-03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207,632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353,825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561,457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13.68%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2003-04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219,718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5.82%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409,150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628,868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12.01%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2004-05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231,563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466,409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697,972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10.99%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2005-06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243,023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4.95%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525,365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768,388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10.09%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2006-07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255,482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588,580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12.03%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844,062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9.85%</w:t>
            </w:r>
          </w:p>
        </w:tc>
      </w:tr>
      <w:tr w:rsidR="005D6C6C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2007-08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275,527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7.85%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622,340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5.74%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897,867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6.37%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5D6C6C" w:rsidP="00A35015">
            <w:pPr>
              <w:rPr>
                <w:szCs w:val="24"/>
              </w:rPr>
            </w:pPr>
            <w:r>
              <w:rPr>
                <w:szCs w:val="24"/>
              </w:rPr>
              <w:t>2008-09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289,940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577,567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-7.19%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867,507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-3.37%</w:t>
            </w:r>
          </w:p>
        </w:tc>
      </w:tr>
      <w:tr w:rsidR="00797CC0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rPr>
                <w:szCs w:val="24"/>
              </w:rPr>
            </w:pPr>
            <w:r>
              <w:rPr>
                <w:szCs w:val="24"/>
              </w:rPr>
              <w:t>2009-10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303,768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653,570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957,338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</w:tr>
      <w:tr w:rsidR="002757DA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2757DA" w:rsidP="00A35015">
            <w:pPr>
              <w:rPr>
                <w:szCs w:val="24"/>
              </w:rPr>
            </w:pPr>
            <w:r>
              <w:rPr>
                <w:szCs w:val="24"/>
              </w:rPr>
              <w:t>2010-11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329,142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703,575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1,032,717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7.87%</w:t>
            </w:r>
          </w:p>
        </w:tc>
      </w:tr>
      <w:tr w:rsidR="004E168D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E168D" w:rsidP="00A35015">
            <w:pPr>
              <w:rPr>
                <w:szCs w:val="24"/>
              </w:rPr>
            </w:pPr>
            <w:r>
              <w:rPr>
                <w:szCs w:val="24"/>
              </w:rPr>
              <w:t>2011-12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325,360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4E168D" w:rsidRDefault="0078187B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-1.15%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712,261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168D" w:rsidRDefault="006B40B7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12.35%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4E168D" w:rsidRDefault="00A226FC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0.</w:t>
            </w:r>
            <w:r w:rsidR="006B40B7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  <w:r w:rsidR="006B40B7">
              <w:rPr>
                <w:szCs w:val="24"/>
              </w:rPr>
              <w:t>%</w:t>
            </w:r>
          </w:p>
        </w:tc>
      </w:tr>
      <w:tr w:rsidR="00586968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586968" w:rsidP="00A35015">
            <w:pPr>
              <w:rPr>
                <w:szCs w:val="24"/>
              </w:rPr>
            </w:pPr>
            <w:r>
              <w:rPr>
                <w:szCs w:val="24"/>
              </w:rPr>
              <w:t>2012-13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342,349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86968" w:rsidRDefault="009E37E6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744,511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86968" w:rsidRDefault="000801BE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4.53</w:t>
            </w:r>
            <w:r w:rsidR="009E37E6">
              <w:rPr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86968" w:rsidRDefault="00DD4043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1,086,860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86968" w:rsidRDefault="000801BE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4.75</w:t>
            </w:r>
            <w:r w:rsidR="009E37E6">
              <w:rPr>
                <w:szCs w:val="24"/>
              </w:rPr>
              <w:t>%</w:t>
            </w:r>
          </w:p>
        </w:tc>
      </w:tr>
      <w:tr w:rsidR="00D7459D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D7459D" w:rsidRDefault="00D7459D" w:rsidP="00A35015">
            <w:pPr>
              <w:rPr>
                <w:szCs w:val="24"/>
              </w:rPr>
            </w:pPr>
            <w:r>
              <w:rPr>
                <w:szCs w:val="24"/>
              </w:rPr>
              <w:t>2013-14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356,807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D7459D" w:rsidRDefault="00D7459D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4.22%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776,605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7459D" w:rsidRDefault="00D7459D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4.31%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1,133,412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D7459D" w:rsidRDefault="00D7459D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4.28%</w:t>
            </w:r>
          </w:p>
        </w:tc>
      </w:tr>
      <w:tr w:rsidR="008723F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8723F5" w:rsidRDefault="008723F5" w:rsidP="00A35015">
            <w:pPr>
              <w:rPr>
                <w:szCs w:val="24"/>
              </w:rPr>
            </w:pPr>
            <w:r>
              <w:rPr>
                <w:szCs w:val="24"/>
              </w:rPr>
              <w:t>2014-15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8723F5" w:rsidRDefault="006803CF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371,197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8723F5" w:rsidRDefault="006803CF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4.03%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8723F5" w:rsidRDefault="006803CF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804,983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723F5" w:rsidRDefault="006803CF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23F5" w:rsidRDefault="006803CF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1,176,180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8723F5" w:rsidRDefault="006803CF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3.77%</w:t>
            </w:r>
          </w:p>
        </w:tc>
      </w:tr>
      <w:tr w:rsidR="00F479B6" w:rsidRPr="00F479B6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F479B6" w:rsidRPr="003F5363" w:rsidRDefault="00F479B6" w:rsidP="00A35015">
            <w:pPr>
              <w:rPr>
                <w:szCs w:val="24"/>
              </w:rPr>
            </w:pPr>
            <w:r w:rsidRPr="003F5363">
              <w:rPr>
                <w:szCs w:val="24"/>
              </w:rPr>
              <w:t>2015-16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F479B6" w:rsidRPr="003F5363" w:rsidRDefault="00F479B6" w:rsidP="009732E8">
            <w:pPr>
              <w:jc w:val="right"/>
              <w:rPr>
                <w:szCs w:val="24"/>
              </w:rPr>
            </w:pPr>
            <w:r w:rsidRPr="003F5363">
              <w:rPr>
                <w:szCs w:val="24"/>
              </w:rPr>
              <w:t>383,439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F479B6" w:rsidRPr="003F5363" w:rsidRDefault="009732E8" w:rsidP="0078187B">
            <w:pPr>
              <w:jc w:val="right"/>
              <w:rPr>
                <w:szCs w:val="24"/>
              </w:rPr>
            </w:pPr>
            <w:r w:rsidRPr="003F5363">
              <w:rPr>
                <w:szCs w:val="24"/>
              </w:rPr>
              <w:t>3.3%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F479B6" w:rsidRPr="003F5363" w:rsidRDefault="009732E8" w:rsidP="00C01CEF">
            <w:pPr>
              <w:jc w:val="right"/>
              <w:rPr>
                <w:szCs w:val="24"/>
              </w:rPr>
            </w:pPr>
            <w:r w:rsidRPr="003F5363">
              <w:rPr>
                <w:szCs w:val="24"/>
              </w:rPr>
              <w:t>827,812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79B6" w:rsidRPr="003F5363" w:rsidRDefault="009732E8" w:rsidP="00A35015">
            <w:pPr>
              <w:jc w:val="right"/>
              <w:rPr>
                <w:szCs w:val="24"/>
              </w:rPr>
            </w:pPr>
            <w:r w:rsidRPr="003F5363">
              <w:rPr>
                <w:szCs w:val="24"/>
              </w:rPr>
              <w:t>2.84%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79B6" w:rsidRPr="003F5363" w:rsidRDefault="009732E8" w:rsidP="00C01CEF">
            <w:pPr>
              <w:jc w:val="right"/>
              <w:rPr>
                <w:szCs w:val="24"/>
              </w:rPr>
            </w:pPr>
            <w:r w:rsidRPr="003F5363">
              <w:rPr>
                <w:szCs w:val="24"/>
              </w:rPr>
              <w:t>1,211,251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F479B6" w:rsidRPr="003F5363" w:rsidRDefault="009732E8" w:rsidP="00A226FC">
            <w:pPr>
              <w:jc w:val="right"/>
              <w:rPr>
                <w:szCs w:val="24"/>
              </w:rPr>
            </w:pPr>
            <w:r w:rsidRPr="003F5363">
              <w:rPr>
                <w:szCs w:val="24"/>
              </w:rPr>
              <w:t>3%</w:t>
            </w:r>
          </w:p>
        </w:tc>
      </w:tr>
    </w:tbl>
    <w:p w:rsidR="00A35015" w:rsidRPr="009F2F0B" w:rsidRDefault="00A35015">
      <w:pPr>
        <w:spacing w:line="228" w:lineRule="auto"/>
        <w:rPr>
          <w:sz w:val="12"/>
          <w:szCs w:val="12"/>
        </w:rPr>
      </w:pPr>
    </w:p>
    <w:p w:rsidR="00171C66" w:rsidRPr="003F5363" w:rsidRDefault="00355959">
      <w:pPr>
        <w:spacing w:line="228" w:lineRule="auto"/>
      </w:pPr>
      <w:r w:rsidRPr="003F5363">
        <w:t>The chart on the following page shows the</w:t>
      </w:r>
      <w:r w:rsidR="00171C66" w:rsidRPr="003F5363">
        <w:t xml:space="preserve"> </w:t>
      </w:r>
      <w:r w:rsidR="005B2C86" w:rsidRPr="003F5363">
        <w:t>N</w:t>
      </w:r>
      <w:r w:rsidR="00171C66" w:rsidRPr="003F5363">
        <w:t xml:space="preserve">DSS expenditure from 1992-1993 to </w:t>
      </w:r>
      <w:r w:rsidR="004A234A" w:rsidRPr="003F5363">
        <w:t>201</w:t>
      </w:r>
      <w:r w:rsidR="00407F14" w:rsidRPr="003F5363">
        <w:t>5-2016</w:t>
      </w:r>
      <w:r w:rsidR="00171C66" w:rsidRPr="003F5363">
        <w:t>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A415FC" w:rsidRDefault="00D7459D">
      <w:pPr>
        <w:spacing w:line="228" w:lineRule="auto"/>
      </w:pPr>
      <w:r w:rsidRPr="003F5363">
        <w:t>Total NDSS e</w:t>
      </w:r>
      <w:r w:rsidR="00171C66" w:rsidRPr="003F5363">
        <w:t xml:space="preserve">xpenditure for the </w:t>
      </w:r>
      <w:r w:rsidR="009B6A58" w:rsidRPr="003F5363">
        <w:t>201</w:t>
      </w:r>
      <w:r w:rsidR="00D33AF3" w:rsidRPr="003F5363">
        <w:t>5</w:t>
      </w:r>
      <w:r w:rsidR="00407F14" w:rsidRPr="003F5363">
        <w:t>-16</w:t>
      </w:r>
      <w:r w:rsidR="00C05902" w:rsidRPr="003F5363">
        <w:t xml:space="preserve"> </w:t>
      </w:r>
      <w:r w:rsidR="00171C66" w:rsidRPr="003F5363">
        <w:t xml:space="preserve">financial </w:t>
      </w:r>
      <w:proofErr w:type="gramStart"/>
      <w:r w:rsidR="00171C66" w:rsidRPr="003F5363">
        <w:t>year</w:t>
      </w:r>
      <w:proofErr w:type="gramEnd"/>
      <w:r w:rsidR="00171C66" w:rsidRPr="003F5363">
        <w:t xml:space="preserve"> was </w:t>
      </w:r>
      <w:r w:rsidR="002D4E06" w:rsidRPr="003F5363">
        <w:t>$249.5 million</w:t>
      </w:r>
      <w:r w:rsidR="00C27E53" w:rsidRPr="003F5363">
        <w:t>.  This includes</w:t>
      </w:r>
      <w:r w:rsidRPr="003F5363">
        <w:t xml:space="preserve"> Australia</w:t>
      </w:r>
      <w:r w:rsidR="006501E0" w:rsidRPr="003F5363">
        <w:t>n</w:t>
      </w:r>
      <w:r w:rsidRPr="003F5363">
        <w:t xml:space="preserve"> Government funding and Registrant co-</w:t>
      </w:r>
      <w:r w:rsidR="00C27E53" w:rsidRPr="003F5363">
        <w:t>payments and is</w:t>
      </w:r>
      <w:r w:rsidR="00171C66" w:rsidRPr="003F5363">
        <w:t xml:space="preserve"> an increase of </w:t>
      </w:r>
      <w:r w:rsidR="006F0C2E" w:rsidRPr="003F5363">
        <w:t>$</w:t>
      </w:r>
      <w:r w:rsidR="002C2EA2" w:rsidRPr="003F5363">
        <w:t>15</w:t>
      </w:r>
      <w:r w:rsidR="006B6194" w:rsidRPr="003F5363">
        <w:t>.</w:t>
      </w:r>
      <w:r w:rsidR="00B36CE3" w:rsidRPr="003F5363">
        <w:t>7</w:t>
      </w:r>
      <w:r w:rsidR="002C2EA2" w:rsidRPr="003F5363">
        <w:t> </w:t>
      </w:r>
      <w:r w:rsidR="006F0C2E" w:rsidRPr="003F5363">
        <w:t xml:space="preserve">million </w:t>
      </w:r>
      <w:r w:rsidR="00171C66" w:rsidRPr="003F5363">
        <w:t>over the p</w:t>
      </w:r>
      <w:r w:rsidR="006F0C2E" w:rsidRPr="003F5363">
        <w:t>revious financial year.</w:t>
      </w:r>
    </w:p>
    <w:p w:rsidR="00D47CCA" w:rsidRDefault="00A415FC">
      <w:pPr>
        <w:spacing w:line="228" w:lineRule="auto"/>
      </w:pPr>
      <w:r>
        <w:br w:type="page"/>
      </w:r>
    </w:p>
    <w:p w:rsidR="009974D3" w:rsidRDefault="009974D3">
      <w:pPr>
        <w:spacing w:line="228" w:lineRule="auto"/>
      </w:pPr>
    </w:p>
    <w:p w:rsidR="009974D3" w:rsidRPr="003F5363" w:rsidRDefault="00A63274">
      <w:pPr>
        <w:spacing w:line="228" w:lineRule="auto"/>
      </w:pPr>
      <w:bookmarkStart w:id="0" w:name="_GoBack"/>
      <w:r>
        <w:rPr>
          <w:noProof/>
        </w:rPr>
        <w:drawing>
          <wp:inline distT="0" distB="0" distL="0" distR="0">
            <wp:extent cx="9286875" cy="5547360"/>
            <wp:effectExtent l="0" t="0" r="9525" b="15240"/>
            <wp:docPr id="1" name="Chart 1" title="National Diabetes Services Scheme Expendi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9974D3" w:rsidRPr="003F5363" w:rsidSect="00A41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276" w:right="1077" w:bottom="1276" w:left="851" w:header="567" w:footer="567" w:gutter="0"/>
      <w:pgNumType w:start="3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AD" w:rsidRDefault="00B57CAD">
      <w:r>
        <w:separator/>
      </w:r>
    </w:p>
  </w:endnote>
  <w:endnote w:type="continuationSeparator" w:id="0">
    <w:p w:rsidR="00B57CAD" w:rsidRDefault="00B5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63" w:rsidRDefault="00796F63" w:rsidP="001417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</w:p>
  <w:p w:rsidR="00796F63" w:rsidRDefault="00796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90" w:rsidRDefault="0091739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7C8">
      <w:rPr>
        <w:noProof/>
      </w:rPr>
      <w:t>36</w:t>
    </w:r>
    <w:r>
      <w:rPr>
        <w:noProof/>
      </w:rPr>
      <w:fldChar w:fldCharType="end"/>
    </w:r>
  </w:p>
  <w:p w:rsidR="00796F63" w:rsidRDefault="00796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C8" w:rsidRDefault="00462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AD" w:rsidRDefault="00B57CAD">
      <w:r>
        <w:separator/>
      </w:r>
    </w:p>
  </w:footnote>
  <w:footnote w:type="continuationSeparator" w:id="0">
    <w:p w:rsidR="00B57CAD" w:rsidRDefault="00B5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C8" w:rsidRDefault="00462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90" w:rsidRPr="00917390" w:rsidRDefault="00917390" w:rsidP="00917390">
    <w:pPr>
      <w:pStyle w:val="Header"/>
      <w:jc w:val="center"/>
      <w:rPr>
        <w:rFonts w:ascii="Calibri" w:hAnsi="Calibri"/>
      </w:rPr>
    </w:pPr>
    <w:r w:rsidRPr="00917390">
      <w:rPr>
        <w:rFonts w:ascii="Calibri" w:hAnsi="Calibri"/>
      </w:rPr>
      <w:t>Expenditure and Prescriptions 2015-16.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C8" w:rsidRDefault="00462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</w:docVars>
  <w:rsids>
    <w:rsidRoot w:val="009F2F0B"/>
    <w:rsid w:val="00003247"/>
    <w:rsid w:val="00020B56"/>
    <w:rsid w:val="00021B34"/>
    <w:rsid w:val="00022250"/>
    <w:rsid w:val="00022AC9"/>
    <w:rsid w:val="00031754"/>
    <w:rsid w:val="000801BE"/>
    <w:rsid w:val="000B3F10"/>
    <w:rsid w:val="000F23D9"/>
    <w:rsid w:val="00102735"/>
    <w:rsid w:val="00107C24"/>
    <w:rsid w:val="0011703C"/>
    <w:rsid w:val="001353BB"/>
    <w:rsid w:val="001417EC"/>
    <w:rsid w:val="00171C66"/>
    <w:rsid w:val="00177A7D"/>
    <w:rsid w:val="001A767C"/>
    <w:rsid w:val="001B30FE"/>
    <w:rsid w:val="001D57B6"/>
    <w:rsid w:val="001F59AD"/>
    <w:rsid w:val="00203605"/>
    <w:rsid w:val="00245052"/>
    <w:rsid w:val="00253464"/>
    <w:rsid w:val="002757DA"/>
    <w:rsid w:val="00277AD2"/>
    <w:rsid w:val="002805C8"/>
    <w:rsid w:val="002A6B02"/>
    <w:rsid w:val="002C2EA2"/>
    <w:rsid w:val="002D2548"/>
    <w:rsid w:val="002D4E06"/>
    <w:rsid w:val="00302505"/>
    <w:rsid w:val="00335B35"/>
    <w:rsid w:val="00355959"/>
    <w:rsid w:val="003A4166"/>
    <w:rsid w:val="003F0F37"/>
    <w:rsid w:val="003F5363"/>
    <w:rsid w:val="003F64C4"/>
    <w:rsid w:val="00405D00"/>
    <w:rsid w:val="00407F14"/>
    <w:rsid w:val="004352BC"/>
    <w:rsid w:val="004627C8"/>
    <w:rsid w:val="004A234A"/>
    <w:rsid w:val="004A76F1"/>
    <w:rsid w:val="004B31C7"/>
    <w:rsid w:val="004C01BF"/>
    <w:rsid w:val="004E168D"/>
    <w:rsid w:val="00512E1D"/>
    <w:rsid w:val="00526D38"/>
    <w:rsid w:val="005550AC"/>
    <w:rsid w:val="00564089"/>
    <w:rsid w:val="00565700"/>
    <w:rsid w:val="0058348F"/>
    <w:rsid w:val="00584795"/>
    <w:rsid w:val="00586968"/>
    <w:rsid w:val="005A3B0F"/>
    <w:rsid w:val="005B2C86"/>
    <w:rsid w:val="005D6C6C"/>
    <w:rsid w:val="005E6053"/>
    <w:rsid w:val="00611268"/>
    <w:rsid w:val="00611860"/>
    <w:rsid w:val="006501E0"/>
    <w:rsid w:val="006665F6"/>
    <w:rsid w:val="00670F98"/>
    <w:rsid w:val="006803CF"/>
    <w:rsid w:val="00686C45"/>
    <w:rsid w:val="00696E2C"/>
    <w:rsid w:val="006B40B7"/>
    <w:rsid w:val="006B4ABA"/>
    <w:rsid w:val="006B6194"/>
    <w:rsid w:val="006D143B"/>
    <w:rsid w:val="006D208D"/>
    <w:rsid w:val="006F0C2E"/>
    <w:rsid w:val="00701824"/>
    <w:rsid w:val="007117BC"/>
    <w:rsid w:val="007203EC"/>
    <w:rsid w:val="00726B68"/>
    <w:rsid w:val="007631E9"/>
    <w:rsid w:val="00772203"/>
    <w:rsid w:val="0078187B"/>
    <w:rsid w:val="0079610C"/>
    <w:rsid w:val="00796F63"/>
    <w:rsid w:val="00797CC0"/>
    <w:rsid w:val="007C050B"/>
    <w:rsid w:val="008553C1"/>
    <w:rsid w:val="008558D1"/>
    <w:rsid w:val="008723F5"/>
    <w:rsid w:val="008B0093"/>
    <w:rsid w:val="008B3AD7"/>
    <w:rsid w:val="00917390"/>
    <w:rsid w:val="0092221A"/>
    <w:rsid w:val="00932A04"/>
    <w:rsid w:val="00947BB4"/>
    <w:rsid w:val="00962715"/>
    <w:rsid w:val="00971440"/>
    <w:rsid w:val="009732E8"/>
    <w:rsid w:val="009974D3"/>
    <w:rsid w:val="009B6A58"/>
    <w:rsid w:val="009C03D7"/>
    <w:rsid w:val="009E37E6"/>
    <w:rsid w:val="009F2F0B"/>
    <w:rsid w:val="00A04BA5"/>
    <w:rsid w:val="00A226FC"/>
    <w:rsid w:val="00A35015"/>
    <w:rsid w:val="00A415FC"/>
    <w:rsid w:val="00A45C51"/>
    <w:rsid w:val="00A467A5"/>
    <w:rsid w:val="00A63274"/>
    <w:rsid w:val="00A76C13"/>
    <w:rsid w:val="00A7759D"/>
    <w:rsid w:val="00AD19AF"/>
    <w:rsid w:val="00AF1259"/>
    <w:rsid w:val="00B32D08"/>
    <w:rsid w:val="00B36CE3"/>
    <w:rsid w:val="00B377CA"/>
    <w:rsid w:val="00B46AC0"/>
    <w:rsid w:val="00B53954"/>
    <w:rsid w:val="00B57CAD"/>
    <w:rsid w:val="00B90E8F"/>
    <w:rsid w:val="00B921A0"/>
    <w:rsid w:val="00BA06D9"/>
    <w:rsid w:val="00BA3426"/>
    <w:rsid w:val="00BB4EED"/>
    <w:rsid w:val="00BD7DC3"/>
    <w:rsid w:val="00BF3CED"/>
    <w:rsid w:val="00C01CEF"/>
    <w:rsid w:val="00C05902"/>
    <w:rsid w:val="00C12612"/>
    <w:rsid w:val="00C13870"/>
    <w:rsid w:val="00C2367E"/>
    <w:rsid w:val="00C25D07"/>
    <w:rsid w:val="00C27E53"/>
    <w:rsid w:val="00C502A4"/>
    <w:rsid w:val="00C8199B"/>
    <w:rsid w:val="00CA6D73"/>
    <w:rsid w:val="00CC14A5"/>
    <w:rsid w:val="00D33AF3"/>
    <w:rsid w:val="00D47CCA"/>
    <w:rsid w:val="00D541B2"/>
    <w:rsid w:val="00D7459D"/>
    <w:rsid w:val="00D87153"/>
    <w:rsid w:val="00DA2EDD"/>
    <w:rsid w:val="00DB3ADB"/>
    <w:rsid w:val="00DD4043"/>
    <w:rsid w:val="00E11CAF"/>
    <w:rsid w:val="00EE3206"/>
    <w:rsid w:val="00F233F1"/>
    <w:rsid w:val="00F44320"/>
    <w:rsid w:val="00F479B6"/>
    <w:rsid w:val="00F73C05"/>
    <w:rsid w:val="00FC2DDB"/>
    <w:rsid w:val="00FC4ED2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91739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917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central.health\DFSGroupData\Sites\CO1\CO\PBD\PPB\D&amp;M\A%20-%20DATA%20AND%20DATABASES\E&amp;P%20Book%20Production\June16\NDSS\20161005%20Input%20to%20Book%20p32%20-%20NDSS%20Graph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AU"/>
              <a:t>NATIONAL DIABETES SERVICES SCHEME
Expenditure</a:t>
            </a:r>
          </a:p>
        </c:rich>
      </c:tx>
      <c:layout>
        <c:manualLayout>
          <c:xMode val="edge"/>
          <c:yMode val="edge"/>
          <c:x val="0.30023674657594307"/>
          <c:y val="1.555209953343701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525616501327185E-2"/>
          <c:y val="9.2275953841695138E-2"/>
          <c:w val="0.88201532714869435"/>
          <c:h val="0.78175285632064262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3"/>
              <c:layout>
                <c:manualLayout>
                  <c:x val="-4.2895206027977015E-2"/>
                  <c:y val="-1.98598270084045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7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6.6992297883645011E-2"/>
                  <c:y val="-1.241642668427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5.4549796967812425E-2"/>
                  <c:y val="-2.3635538488814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4.4543429844099086E-3"/>
                  <c:y val="1.2441679626749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7.7208611729769852E-2"/>
                  <c:y val="-1.4515292897874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6.2360801781737196E-2"/>
                  <c:y val="-2.0736132711249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1.0393466963622757E-2"/>
                  <c:y val="1.6588906168999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3363028953229399E-2"/>
                  <c:y val="-1.4515292897874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Data!$A$5:$A$28</c:f>
              <c:strCache>
                <c:ptCount val="24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  <c:pt idx="23">
                  <c:v>2015-16</c:v>
                </c:pt>
              </c:strCache>
            </c:strRef>
          </c:cat>
          <c:val>
            <c:numRef>
              <c:f>Data!$B$5:$B$28</c:f>
              <c:numCache>
                <c:formatCode>[$$-C09]#,##0;[Red]\-[$$-C09]#,##0</c:formatCode>
                <c:ptCount val="24"/>
                <c:pt idx="0">
                  <c:v>15030</c:v>
                </c:pt>
                <c:pt idx="1">
                  <c:v>20763</c:v>
                </c:pt>
                <c:pt idx="2">
                  <c:v>22827</c:v>
                </c:pt>
                <c:pt idx="3">
                  <c:v>27219</c:v>
                </c:pt>
                <c:pt idx="4">
                  <c:v>30662</c:v>
                </c:pt>
                <c:pt idx="5">
                  <c:v>38866</c:v>
                </c:pt>
                <c:pt idx="6">
                  <c:v>42476</c:v>
                </c:pt>
                <c:pt idx="7">
                  <c:v>49715</c:v>
                </c:pt>
                <c:pt idx="8">
                  <c:v>58059</c:v>
                </c:pt>
                <c:pt idx="9">
                  <c:v>65872</c:v>
                </c:pt>
                <c:pt idx="10">
                  <c:v>81389</c:v>
                </c:pt>
                <c:pt idx="11">
                  <c:v>86268</c:v>
                </c:pt>
                <c:pt idx="12">
                  <c:v>94149</c:v>
                </c:pt>
                <c:pt idx="13">
                  <c:v>104529</c:v>
                </c:pt>
                <c:pt idx="14">
                  <c:v>113755</c:v>
                </c:pt>
                <c:pt idx="15">
                  <c:v>126172</c:v>
                </c:pt>
                <c:pt idx="16" formatCode="&quot;$&quot;#,##0">
                  <c:v>135815</c:v>
                </c:pt>
                <c:pt idx="17" formatCode="&quot;$&quot;#,##0_);\(&quot;$&quot;#,##0\)">
                  <c:v>154339</c:v>
                </c:pt>
                <c:pt idx="18" formatCode="&quot;$&quot;#,##0">
                  <c:v>190277</c:v>
                </c:pt>
                <c:pt idx="19" formatCode="&quot;$&quot;#,##0">
                  <c:v>206526</c:v>
                </c:pt>
                <c:pt idx="20" formatCode="&quot;$&quot;#,##0">
                  <c:v>218034</c:v>
                </c:pt>
                <c:pt idx="21" formatCode="&quot;$&quot;#,##0">
                  <c:v>228411</c:v>
                </c:pt>
                <c:pt idx="22" formatCode="&quot;$&quot;#,##0">
                  <c:v>233762</c:v>
                </c:pt>
                <c:pt idx="23" formatCode="&quot;$&quot;#,##0">
                  <c:v>249462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994048"/>
        <c:axId val="138995968"/>
      </c:lineChart>
      <c:catAx>
        <c:axId val="1389940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Financial Year</a:t>
                </a:r>
              </a:p>
            </c:rich>
          </c:tx>
          <c:layout>
            <c:manualLayout>
              <c:xMode val="edge"/>
              <c:yMode val="edge"/>
              <c:x val="0.49054440021277967"/>
              <c:y val="0.958009984366262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8995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995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Expenditure ($000m)</a:t>
                </a:r>
              </a:p>
            </c:rich>
          </c:tx>
          <c:layout>
            <c:manualLayout>
              <c:xMode val="edge"/>
              <c:yMode val="edge"/>
              <c:x val="5.910129830653128E-3"/>
              <c:y val="0.4027997044692897"/>
            </c:manualLayout>
          </c:layout>
          <c:overlay val="0"/>
          <c:spPr>
            <a:noFill/>
            <a:ln w="25400">
              <a:noFill/>
            </a:ln>
          </c:spPr>
        </c:title>
        <c:numFmt formatCode="[$$-C09]#,##0;[Red]\-[$$-C09]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8994048"/>
        <c:crosses val="autoZero"/>
        <c:crossBetween val="between"/>
      </c:valAx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DE5A-0AD7-4176-ACE4-B92B219C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2016-12-01T04:27:00Z</dcterms:created>
  <dcterms:modified xsi:type="dcterms:W3CDTF">2016-12-01T04:28:00Z</dcterms:modified>
</cp:coreProperties>
</file>